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48E" w:rsidRDefault="00EC548E" w:rsidP="00EC548E">
      <w:pPr>
        <w:spacing w:after="0" w:line="312" w:lineRule="auto"/>
        <w:jc w:val="center"/>
        <w:rPr>
          <w:rFonts w:ascii="Times New Roman" w:hAnsi="Times New Roman"/>
          <w:b/>
          <w:sz w:val="26"/>
          <w:szCs w:val="26"/>
        </w:rPr>
      </w:pPr>
      <w:r w:rsidRPr="00195A36">
        <w:rPr>
          <w:rFonts w:ascii="Times New Roman" w:hAnsi="Times New Roman"/>
          <w:b/>
          <w:sz w:val="26"/>
          <w:szCs w:val="26"/>
        </w:rPr>
        <w:t xml:space="preserve">MỘT SỐ GIẢI PHÁP VỀ GIÁO DỤC ĐÀO TẠO CHO THANH NIÊN </w:t>
      </w:r>
    </w:p>
    <w:p w:rsidR="00EC548E" w:rsidRDefault="00EC548E" w:rsidP="00EC548E">
      <w:pPr>
        <w:spacing w:after="0" w:line="312" w:lineRule="auto"/>
        <w:jc w:val="center"/>
        <w:rPr>
          <w:rFonts w:ascii="Times New Roman" w:hAnsi="Times New Roman"/>
          <w:b/>
          <w:sz w:val="26"/>
          <w:szCs w:val="26"/>
        </w:rPr>
      </w:pPr>
      <w:r w:rsidRPr="00195A36">
        <w:rPr>
          <w:rFonts w:ascii="Times New Roman" w:hAnsi="Times New Roman"/>
          <w:b/>
          <w:sz w:val="26"/>
          <w:szCs w:val="26"/>
        </w:rPr>
        <w:t xml:space="preserve">TRONG VIỆC THỰC HIỆN LỘ TRÌNH XÂY DỰNG </w:t>
      </w:r>
    </w:p>
    <w:p w:rsidR="00EC548E" w:rsidRDefault="00EC548E" w:rsidP="00EC548E">
      <w:pPr>
        <w:spacing w:after="120" w:line="312" w:lineRule="auto"/>
        <w:jc w:val="center"/>
        <w:rPr>
          <w:rFonts w:ascii="Times New Roman" w:hAnsi="Times New Roman"/>
          <w:b/>
          <w:sz w:val="26"/>
          <w:szCs w:val="26"/>
        </w:rPr>
      </w:pPr>
      <w:r w:rsidRPr="00195A36">
        <w:rPr>
          <w:rFonts w:ascii="Times New Roman" w:hAnsi="Times New Roman"/>
          <w:b/>
          <w:sz w:val="26"/>
          <w:szCs w:val="26"/>
        </w:rPr>
        <w:t>CỘNG ĐỒNG VĂN HÓA - XÃ HỘI ASEAN SAU 2015</w:t>
      </w:r>
    </w:p>
    <w:p w:rsidR="00EC548E" w:rsidRPr="00C739F1" w:rsidRDefault="00EC548E" w:rsidP="00EC548E">
      <w:pPr>
        <w:spacing w:after="0" w:line="312" w:lineRule="auto"/>
        <w:jc w:val="right"/>
        <w:rPr>
          <w:rFonts w:ascii="Times New Roman" w:hAnsi="Times New Roman"/>
          <w:b/>
          <w:sz w:val="26"/>
          <w:szCs w:val="26"/>
        </w:rPr>
      </w:pPr>
      <w:proofErr w:type="spellStart"/>
      <w:r w:rsidRPr="00C739F1">
        <w:rPr>
          <w:rFonts w:ascii="Times New Roman" w:hAnsi="Times New Roman"/>
          <w:b/>
          <w:sz w:val="26"/>
          <w:szCs w:val="26"/>
        </w:rPr>
        <w:t>Nguyễn</w:t>
      </w:r>
      <w:proofErr w:type="spellEnd"/>
      <w:r w:rsidRPr="00C739F1">
        <w:rPr>
          <w:rFonts w:ascii="Times New Roman" w:hAnsi="Times New Roman"/>
          <w:b/>
          <w:sz w:val="26"/>
          <w:szCs w:val="26"/>
        </w:rPr>
        <w:t xml:space="preserve"> Hà Phương &amp; </w:t>
      </w:r>
      <w:proofErr w:type="spellStart"/>
      <w:r w:rsidRPr="00C739F1">
        <w:rPr>
          <w:rFonts w:ascii="Times New Roman" w:hAnsi="Times New Roman"/>
          <w:b/>
          <w:sz w:val="26"/>
          <w:szCs w:val="26"/>
        </w:rPr>
        <w:t>Nguyễn</w:t>
      </w:r>
      <w:proofErr w:type="spellEnd"/>
      <w:r w:rsidRPr="00C739F1">
        <w:rPr>
          <w:rFonts w:ascii="Times New Roman" w:hAnsi="Times New Roman"/>
          <w:b/>
          <w:sz w:val="26"/>
          <w:szCs w:val="26"/>
        </w:rPr>
        <w:t xml:space="preserve"> Xuân Tùng</w:t>
      </w:r>
    </w:p>
    <w:p w:rsidR="00EC548E" w:rsidRPr="00195A36" w:rsidRDefault="00EC548E" w:rsidP="00EC548E">
      <w:pPr>
        <w:spacing w:after="0" w:line="312" w:lineRule="auto"/>
        <w:jc w:val="right"/>
        <w:rPr>
          <w:rFonts w:ascii="Times New Roman" w:hAnsi="Times New Roman"/>
          <w:b/>
          <w:i/>
          <w:sz w:val="26"/>
          <w:szCs w:val="26"/>
        </w:rPr>
        <w:sectPr w:rsidR="00EC548E" w:rsidRPr="00195A36" w:rsidSect="006347DD">
          <w:type w:val="continuous"/>
          <w:pgSz w:w="11907" w:h="16840" w:code="9"/>
          <w:pgMar w:top="1418" w:right="1134" w:bottom="1418" w:left="1701" w:header="720" w:footer="720" w:gutter="0"/>
          <w:cols w:space="720"/>
          <w:docGrid w:linePitch="360"/>
        </w:sectPr>
      </w:pPr>
    </w:p>
    <w:p w:rsidR="00EC548E" w:rsidRPr="00195A36" w:rsidRDefault="00EC548E" w:rsidP="00EC548E">
      <w:pPr>
        <w:spacing w:after="0" w:line="312" w:lineRule="auto"/>
        <w:jc w:val="right"/>
        <w:rPr>
          <w:rFonts w:ascii="Times New Roman" w:hAnsi="Times New Roman"/>
          <w:b/>
          <w:sz w:val="26"/>
          <w:szCs w:val="26"/>
        </w:rPr>
      </w:pPr>
      <w:r w:rsidRPr="00195A36">
        <w:rPr>
          <w:rFonts w:ascii="Times New Roman" w:hAnsi="Times New Roman"/>
          <w:b/>
          <w:i/>
          <w:sz w:val="26"/>
          <w:szCs w:val="26"/>
        </w:rPr>
        <w:lastRenderedPageBreak/>
        <w:t>Viện Nghiên cứu Đông Nam Á</w:t>
      </w:r>
    </w:p>
    <w:p w:rsidR="00EC548E" w:rsidRPr="00195A36" w:rsidRDefault="00EC548E" w:rsidP="00EC548E">
      <w:pPr>
        <w:spacing w:after="120" w:line="312" w:lineRule="auto"/>
        <w:ind w:firstLine="567"/>
        <w:jc w:val="both"/>
        <w:rPr>
          <w:rFonts w:ascii="Times New Roman" w:hAnsi="Times New Roman"/>
          <w:b/>
          <w:sz w:val="26"/>
          <w:szCs w:val="26"/>
        </w:rPr>
      </w:pPr>
    </w:p>
    <w:p w:rsidR="00EC548E" w:rsidRPr="00195A36" w:rsidRDefault="00EC548E" w:rsidP="00EC548E">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Cộng đồng Văn hóa – Xã hội ASEAN (ASCC) là một trụ cột quan trọng của quá trình xây dựng Cộng đồng ASEAN.</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Với tiêu chí “thống nhất trong đa dạng”, ASEAN đã và đang quyết tâm để hiện thực hóa ASCC vào năm 2015.</w:t>
      </w:r>
      <w:proofErr w:type="gramEnd"/>
      <w:r w:rsidRPr="00195A36">
        <w:rPr>
          <w:rFonts w:ascii="Times New Roman" w:hAnsi="Times New Roman"/>
          <w:sz w:val="26"/>
          <w:szCs w:val="26"/>
        </w:rPr>
        <w:t xml:space="preserve"> Tuy nhiên, trong quá trình thực hiện, các quốc gia trong đó có Việt Nam cũng gặp phải một số thách thức nhất là việc giáo dục đào tạo thanh niên tăng cường hiểu biết về văn hóa- xã hội ASEAN và bảo tồn nét văn hóa truyền thống, đạo đức lối sống của dân tộc. Do đó, bài viết sẽ khái quát lại nội dung cơ bản liên quan đến ASCC và gợi ý một số giải pháp để giúp thanh niên nước ta có thể hội nhập được với quá trình phát triển của khu vực mà không đánh mất những nét đẹp văn hóa và đạo đức truyền thống của dân tộc. </w:t>
      </w:r>
    </w:p>
    <w:p w:rsidR="00EC548E" w:rsidRPr="00C73901" w:rsidRDefault="00EC548E" w:rsidP="00EC548E">
      <w:pPr>
        <w:pStyle w:val="ListParagraph"/>
        <w:numPr>
          <w:ilvl w:val="1"/>
          <w:numId w:val="1"/>
        </w:numPr>
        <w:spacing w:after="120" w:line="312" w:lineRule="auto"/>
        <w:ind w:left="1134"/>
        <w:jc w:val="both"/>
        <w:rPr>
          <w:b/>
          <w:sz w:val="26"/>
          <w:szCs w:val="26"/>
        </w:rPr>
      </w:pPr>
      <w:r w:rsidRPr="00C73901">
        <w:rPr>
          <w:b/>
          <w:sz w:val="26"/>
          <w:szCs w:val="26"/>
        </w:rPr>
        <w:t>Khái quát Cộng đồng văn hóa – xã hội ASEAN.</w:t>
      </w:r>
    </w:p>
    <w:p w:rsidR="00EC548E" w:rsidRPr="00195A36" w:rsidRDefault="00EC548E" w:rsidP="00EC548E">
      <w:pPr>
        <w:spacing w:after="120" w:line="312" w:lineRule="auto"/>
        <w:ind w:firstLine="567"/>
        <w:jc w:val="both"/>
        <w:rPr>
          <w:rFonts w:ascii="Times New Roman" w:hAnsi="Times New Roman"/>
          <w:b/>
          <w:i/>
          <w:sz w:val="26"/>
          <w:szCs w:val="26"/>
        </w:rPr>
      </w:pPr>
      <w:r w:rsidRPr="00195A36">
        <w:rPr>
          <w:rFonts w:ascii="Times New Roman" w:hAnsi="Times New Roman"/>
          <w:b/>
          <w:i/>
          <w:sz w:val="26"/>
          <w:szCs w:val="26"/>
        </w:rPr>
        <w:t>1.1</w:t>
      </w:r>
      <w:proofErr w:type="gramStart"/>
      <w:r w:rsidRPr="00195A36">
        <w:rPr>
          <w:rFonts w:ascii="Times New Roman" w:hAnsi="Times New Roman"/>
          <w:b/>
          <w:i/>
          <w:sz w:val="26"/>
          <w:szCs w:val="26"/>
        </w:rPr>
        <w:t>.Quá</w:t>
      </w:r>
      <w:proofErr w:type="gramEnd"/>
      <w:r w:rsidRPr="00195A36">
        <w:rPr>
          <w:rFonts w:ascii="Times New Roman" w:hAnsi="Times New Roman"/>
          <w:b/>
          <w:i/>
          <w:sz w:val="26"/>
          <w:szCs w:val="26"/>
        </w:rPr>
        <w:t xml:space="preserve"> trình hình thành Cộng đồng văn hóa – xã hội ASEAN</w:t>
      </w:r>
    </w:p>
    <w:p w:rsidR="00EC548E" w:rsidRPr="00195A36" w:rsidRDefault="00EC548E" w:rsidP="00EC548E">
      <w:pPr>
        <w:spacing w:after="120" w:line="312" w:lineRule="auto"/>
        <w:ind w:firstLine="567"/>
        <w:jc w:val="both"/>
        <w:rPr>
          <w:rStyle w:val="apple-converted-space"/>
          <w:rFonts w:ascii="Times New Roman" w:hAnsi="Times New Roman"/>
          <w:sz w:val="26"/>
          <w:szCs w:val="26"/>
          <w:shd w:val="clear" w:color="auto" w:fill="FFFFFF"/>
        </w:rPr>
      </w:pPr>
      <w:r w:rsidRPr="00195A36">
        <w:rPr>
          <w:rFonts w:ascii="Times New Roman" w:hAnsi="Times New Roman"/>
          <w:sz w:val="26"/>
          <w:szCs w:val="26"/>
          <w:shd w:val="clear" w:color="auto" w:fill="FFFFFF"/>
        </w:rPr>
        <w:tab/>
        <w:t>Cộng đồng Văn hóa - Xã hội ASEAN (ASCC) là một trong ba trụ cột của Cộng đồng ASEAN (AC), với mục tiêu xây dựng một cộng đồng các dân tộc ASEAN hài hòa, đoàn kết, sống đùm bọc và chia sẻ, hướng tới người dân, chăm lo cho thể chất, phúc lợi, môi trường sống ngày càng tốt hơn của người dân, và tạo dựng một bản sắc chung của khu vực. Ý tưởng về Cộng đồng Văn hóa-Xã hội ASEAN nói riêng trong tổng thể Cộng đồng ASEAN nói chung được khởi nguồn từ văn kiện Tầm nhìn ASEAN 2020, thông qua tại Hội nghị Cấp cao ASEAN không chính thức lần thứ 2, tháng 12/2007. Tầm nhìn 2020 hình dung về một cộng đồng ASEAN với nhận thức rõ về các mối quan hệ lịch sử, di sản văn hoá, gắn bó với nhau bởi bản sắc khu vực chung; gắn kết về xã hội và đùm bọc lẫn nhau,  trong đó nghèo đói, suy dinh dưỡng không còn là vấn đề lớn; gia đình, đơn vị cơ bản của xã hội, quan tâm chăm sóc các thành viên của mình, đặc biệt là trẻ em, thanh niên, phụ nữ và người già; những người yếu thế, người khuyết tật được quan tâm đặc biệt; công bằng xã hội được đề cao; một Đông Nam Á không có ma tuý; có khả năng cạnh tranh cao về công nghệ; một ASEAN xanh và sạch; một khu vực Đông Nam Á có khả năng ứng phó tốt hơn với các vấn đề mang tính khu vực như suy thoái và ô nhiễm môi trường, buôn bán ma túy, phụ nữ, trẻ em và các loại tội phạm xuyên quốc gia khác; một cộng đồng có sự tham gia rộng rãi hơn của người dân, nơi phẩm giá và phúc lợi của con người được đề cao, vì lợi ích chung của cộng đồng</w:t>
      </w:r>
      <w:r w:rsidRPr="00195A36">
        <w:rPr>
          <w:rStyle w:val="apple-converted-space"/>
          <w:rFonts w:ascii="Times New Roman" w:hAnsi="Times New Roman"/>
          <w:sz w:val="26"/>
          <w:szCs w:val="26"/>
          <w:shd w:val="clear" w:color="auto" w:fill="FFFFFF"/>
        </w:rPr>
        <w:t xml:space="preserve">,… </w:t>
      </w:r>
    </w:p>
    <w:p w:rsidR="00EC548E" w:rsidRPr="00195A36" w:rsidRDefault="00EC548E" w:rsidP="00EC548E">
      <w:pPr>
        <w:spacing w:after="120" w:line="312" w:lineRule="auto"/>
        <w:ind w:firstLine="567"/>
        <w:jc w:val="both"/>
        <w:rPr>
          <w:rFonts w:ascii="Times New Roman" w:hAnsi="Times New Roman"/>
          <w:sz w:val="26"/>
          <w:szCs w:val="26"/>
        </w:rPr>
      </w:pPr>
      <w:r w:rsidRPr="00195A36">
        <w:rPr>
          <w:rStyle w:val="apple-converted-space"/>
          <w:rFonts w:ascii="Times New Roman" w:hAnsi="Times New Roman"/>
          <w:sz w:val="26"/>
          <w:szCs w:val="26"/>
          <w:shd w:val="clear" w:color="auto" w:fill="FFFFFF"/>
        </w:rPr>
        <w:tab/>
      </w:r>
      <w:r w:rsidRPr="00195A36">
        <w:rPr>
          <w:rFonts w:ascii="Times New Roman" w:hAnsi="Times New Roman"/>
          <w:sz w:val="26"/>
          <w:szCs w:val="26"/>
          <w:shd w:val="clear" w:color="auto" w:fill="FFFFFF"/>
        </w:rPr>
        <w:t xml:space="preserve"> Quyết định chính thức của ASEAN về xây dựng Cộng đồng được đưa ra tại Hội nghị Cấp cao ASEAN lần thứ 9 tại Bali, In-đô-nê-xi-a, tháng 10/2003, thể hiện trong </w:t>
      </w:r>
      <w:r w:rsidRPr="00195A36">
        <w:rPr>
          <w:rFonts w:ascii="Times New Roman" w:hAnsi="Times New Roman"/>
          <w:sz w:val="26"/>
          <w:szCs w:val="26"/>
          <w:shd w:val="clear" w:color="auto" w:fill="FFFFFF"/>
        </w:rPr>
        <w:lastRenderedPageBreak/>
        <w:t xml:space="preserve">Tuyên bố Hoà hợp ASEAN II (hay còn gọi là Tuyên bố Ba-li II). Theo đó, ASEAN nhất trí hướng đến mục tiêu hình thành một cộng đồng ASEAN liên kết, tự cường vào năm 2020 với 3 trụ cột chính là hợp tác chính trị - an ninh (Cộng đồng an ninh ASEAN – ASC), hợp tác kinh tế (Cộng đồng Kinh tế ASEAN – AEC) và hợp tác văn hoá xã hội (Cộng đồng Văn hoá Xã hội ASEAN – ASCC). </w:t>
      </w:r>
      <w:proofErr w:type="gramStart"/>
      <w:r w:rsidRPr="00195A36">
        <w:rPr>
          <w:rFonts w:ascii="Times New Roman" w:hAnsi="Times New Roman"/>
          <w:sz w:val="26"/>
          <w:szCs w:val="26"/>
          <w:shd w:val="clear" w:color="auto" w:fill="FFFFFF"/>
        </w:rPr>
        <w:t>Trụ cột thứ ba, Cộng đồng Văn hóa-Xã hội ASEAN-ASCC, được xem như chân kiềng quan trọng, gắn kết và bổ trợ cho 2 trụ cột ban đầu, tập trung nhiều hơn vào khía cạnh hợp tác nâng cao chất lượng cuộc sống của người dân.</w:t>
      </w:r>
      <w:proofErr w:type="gramEnd"/>
    </w:p>
    <w:p w:rsidR="00EC548E" w:rsidRPr="00195A36" w:rsidRDefault="00EC548E" w:rsidP="00EC548E">
      <w:pPr>
        <w:spacing w:after="120" w:line="312" w:lineRule="auto"/>
        <w:ind w:firstLine="567"/>
        <w:jc w:val="both"/>
        <w:rPr>
          <w:rFonts w:ascii="Times New Roman" w:hAnsi="Times New Roman"/>
          <w:b/>
          <w:sz w:val="26"/>
          <w:szCs w:val="26"/>
          <w:shd w:val="clear" w:color="auto" w:fill="FFFFFF"/>
        </w:rPr>
      </w:pPr>
      <w:r w:rsidRPr="00195A36">
        <w:rPr>
          <w:rFonts w:ascii="Times New Roman" w:hAnsi="Times New Roman"/>
          <w:b/>
          <w:i/>
          <w:sz w:val="26"/>
          <w:szCs w:val="26"/>
          <w:shd w:val="clear" w:color="auto" w:fill="FFFFFF"/>
        </w:rPr>
        <w:t>1.2. Mục tiêu của Cộng đồng văn hóa – xã hội</w:t>
      </w:r>
    </w:p>
    <w:p w:rsidR="00EC548E" w:rsidRPr="00195A36" w:rsidRDefault="00EC548E" w:rsidP="00EC548E">
      <w:pPr>
        <w:spacing w:after="120" w:line="312" w:lineRule="auto"/>
        <w:ind w:firstLine="567"/>
        <w:jc w:val="both"/>
        <w:rPr>
          <w:rFonts w:ascii="Times New Roman" w:hAnsi="Times New Roman"/>
          <w:sz w:val="26"/>
          <w:szCs w:val="26"/>
          <w:shd w:val="clear" w:color="auto" w:fill="FFFFFF"/>
        </w:rPr>
      </w:pPr>
      <w:r w:rsidRPr="00195A36">
        <w:rPr>
          <w:rFonts w:ascii="Times New Roman" w:hAnsi="Times New Roman"/>
          <w:sz w:val="26"/>
          <w:szCs w:val="26"/>
        </w:rPr>
        <w:tab/>
      </w:r>
      <w:r w:rsidRPr="00195A36">
        <w:rPr>
          <w:rFonts w:ascii="Times New Roman" w:hAnsi="Times New Roman"/>
          <w:sz w:val="26"/>
          <w:szCs w:val="26"/>
          <w:shd w:val="clear" w:color="auto" w:fill="FFFFFF"/>
        </w:rPr>
        <w:t>Tuyên bố Hòa hợp ASEAN II nêu những mục tiêu chính của Cộng đồng Văn hóa-Xã hội ASEAN gồm:</w:t>
      </w:r>
    </w:p>
    <w:p w:rsidR="00EC548E" w:rsidRPr="00195A36" w:rsidRDefault="00EC548E" w:rsidP="00EC548E">
      <w:pPr>
        <w:spacing w:after="0" w:line="312" w:lineRule="auto"/>
        <w:ind w:firstLine="567"/>
        <w:jc w:val="both"/>
        <w:rPr>
          <w:rFonts w:ascii="Times New Roman" w:hAnsi="Times New Roman"/>
          <w:sz w:val="26"/>
          <w:szCs w:val="26"/>
          <w:shd w:val="clear" w:color="auto" w:fill="FFFFFF"/>
        </w:rPr>
      </w:pPr>
      <w:r w:rsidRPr="00195A36">
        <w:rPr>
          <w:rFonts w:ascii="Times New Roman" w:hAnsi="Times New Roman"/>
          <w:sz w:val="26"/>
          <w:szCs w:val="26"/>
          <w:shd w:val="clear" w:color="auto" w:fill="FFFFFF"/>
        </w:rPr>
        <w:t>•    Thực hiện mục tiêu nêu trong Tầm nhìn 2020 về xây dựng một cộng động các xã hội đùm bọc lẫn nhau;</w:t>
      </w:r>
    </w:p>
    <w:p w:rsidR="00EC548E" w:rsidRPr="00195A36" w:rsidRDefault="00EC548E" w:rsidP="00EC548E">
      <w:pPr>
        <w:spacing w:after="0" w:line="312" w:lineRule="auto"/>
        <w:ind w:firstLine="567"/>
        <w:jc w:val="both"/>
        <w:rPr>
          <w:rFonts w:ascii="Times New Roman" w:hAnsi="Times New Roman"/>
          <w:sz w:val="26"/>
          <w:szCs w:val="26"/>
          <w:shd w:val="clear" w:color="auto" w:fill="FFFFFF"/>
        </w:rPr>
      </w:pPr>
      <w:r w:rsidRPr="00195A36">
        <w:rPr>
          <w:rFonts w:ascii="Times New Roman" w:hAnsi="Times New Roman"/>
          <w:sz w:val="26"/>
          <w:szCs w:val="26"/>
          <w:shd w:val="clear" w:color="auto" w:fill="FFFFFF"/>
        </w:rPr>
        <w:t>•    Hợp tác trong lĩnh vực phát triển xã hội nhằm nâng cao đời sống của các nhóm người có hoàn cảnh bất lợi, người dân ở nông thôn; khuyến khích sự tham gia tích cực của các tầng lớp xã hội, đặc biệt là phụ nữ, thanh niên và các cộng đồng địa phương; </w:t>
      </w:r>
    </w:p>
    <w:p w:rsidR="00EC548E" w:rsidRPr="00195A36" w:rsidRDefault="00EC548E" w:rsidP="00EC548E">
      <w:pPr>
        <w:spacing w:after="0" w:line="312" w:lineRule="auto"/>
        <w:ind w:firstLine="567"/>
        <w:jc w:val="both"/>
        <w:rPr>
          <w:rFonts w:ascii="Times New Roman" w:hAnsi="Times New Roman"/>
          <w:sz w:val="26"/>
          <w:szCs w:val="26"/>
          <w:shd w:val="clear" w:color="auto" w:fill="FFFFFF"/>
        </w:rPr>
      </w:pPr>
      <w:r w:rsidRPr="00195A36">
        <w:rPr>
          <w:rFonts w:ascii="Times New Roman" w:hAnsi="Times New Roman"/>
          <w:sz w:val="26"/>
          <w:szCs w:val="26"/>
          <w:shd w:val="clear" w:color="auto" w:fill="FFFFFF"/>
        </w:rPr>
        <w:t>•    Đảm bảo để những người lao động trong khu vực được chuẩn bị sẵn sàng và được hưởng lợi từ tiến trình liên kết kinh tế khu vực, thông qua việc đầu tư thêm nguồn lực cho giáo dục tiểu học và cao đẳng, đào tạo, phát triển khoa học và công nghệ, tạo công ăn việc làm và được đảm bảo về mặt xã hội;</w:t>
      </w:r>
    </w:p>
    <w:p w:rsidR="00EC548E" w:rsidRPr="00195A36" w:rsidRDefault="00EC548E" w:rsidP="00EC548E">
      <w:pPr>
        <w:spacing w:after="0" w:line="312" w:lineRule="auto"/>
        <w:ind w:firstLine="567"/>
        <w:jc w:val="both"/>
        <w:rPr>
          <w:rFonts w:ascii="Times New Roman" w:hAnsi="Times New Roman"/>
          <w:sz w:val="26"/>
          <w:szCs w:val="26"/>
          <w:shd w:val="clear" w:color="auto" w:fill="FFFFFF"/>
        </w:rPr>
      </w:pPr>
      <w:r w:rsidRPr="00195A36">
        <w:rPr>
          <w:rFonts w:ascii="Times New Roman" w:hAnsi="Times New Roman"/>
          <w:sz w:val="26"/>
          <w:szCs w:val="26"/>
          <w:shd w:val="clear" w:color="auto" w:fill="FFFFFF"/>
        </w:rPr>
        <w:t>•    Tăng cường hợp tác trong lĩnh vực y tế, bao gồm cả việc phòng, chống các bệnh truyền nhiễm như HIV/AIDS và SARS và ủng hộ các nỗ lực khu vực để người dân có thể tiếp cận nhiều hơn đối với các loại thuốc thông thường;</w:t>
      </w:r>
    </w:p>
    <w:p w:rsidR="00EC548E" w:rsidRPr="00195A36" w:rsidRDefault="00EC548E" w:rsidP="00EC548E">
      <w:pPr>
        <w:spacing w:after="0" w:line="312" w:lineRule="auto"/>
        <w:ind w:firstLine="567"/>
        <w:jc w:val="both"/>
        <w:rPr>
          <w:rFonts w:ascii="Times New Roman" w:hAnsi="Times New Roman"/>
          <w:sz w:val="26"/>
          <w:szCs w:val="26"/>
          <w:shd w:val="clear" w:color="auto" w:fill="FFFFFF"/>
        </w:rPr>
      </w:pPr>
      <w:r w:rsidRPr="00195A36">
        <w:rPr>
          <w:rFonts w:ascii="Times New Roman" w:hAnsi="Times New Roman"/>
          <w:sz w:val="26"/>
          <w:szCs w:val="26"/>
          <w:shd w:val="clear" w:color="auto" w:fill="FFFFFF"/>
        </w:rPr>
        <w:t>•    Bồi dưỡng nhân tài, thúc đẩy giao lưu giữa các học giả, văn nghệ sĩ, những người làm trong ngành truyền thông để bảo tồn và nâng cao giá trị của các di sản văn hoá đa dạng, đồng thời xây dựng bản sắc khu vực, nhận thức của người dân về ASEAN;</w:t>
      </w:r>
    </w:p>
    <w:p w:rsidR="00EC548E" w:rsidRPr="00195A36" w:rsidRDefault="00EC548E" w:rsidP="00EC548E">
      <w:pPr>
        <w:spacing w:after="0" w:line="312" w:lineRule="auto"/>
        <w:ind w:firstLine="567"/>
        <w:jc w:val="both"/>
        <w:rPr>
          <w:rFonts w:ascii="Times New Roman" w:hAnsi="Times New Roman"/>
          <w:sz w:val="26"/>
          <w:szCs w:val="26"/>
          <w:shd w:val="clear" w:color="auto" w:fill="FFFFFF"/>
        </w:rPr>
      </w:pPr>
      <w:r w:rsidRPr="00195A36">
        <w:rPr>
          <w:rFonts w:ascii="Times New Roman" w:hAnsi="Times New Roman"/>
          <w:sz w:val="26"/>
          <w:szCs w:val="26"/>
          <w:shd w:val="clear" w:color="auto" w:fill="FFFFFF"/>
        </w:rPr>
        <w:t>•    Tăng cường hợp tác để giải quyết những vấn đề liên quan tới tăng trưởng dân số, thất nghiệp, môi trường xuống cấp và ô nhiễm xuyên biên giới, quản lý thiên tai.</w:t>
      </w:r>
    </w:p>
    <w:p w:rsidR="00EC548E" w:rsidRPr="00195A36" w:rsidRDefault="00EC548E" w:rsidP="00EC548E">
      <w:pPr>
        <w:spacing w:after="120" w:line="312" w:lineRule="auto"/>
        <w:ind w:firstLine="567"/>
        <w:jc w:val="both"/>
        <w:rPr>
          <w:rFonts w:ascii="Times New Roman" w:hAnsi="Times New Roman"/>
          <w:b/>
          <w:bCs/>
          <w:i/>
          <w:color w:val="333333"/>
          <w:sz w:val="26"/>
          <w:szCs w:val="26"/>
          <w:shd w:val="clear" w:color="auto" w:fill="FFFFFF"/>
        </w:rPr>
      </w:pPr>
      <w:r w:rsidRPr="00195A36">
        <w:rPr>
          <w:rFonts w:ascii="Times New Roman" w:hAnsi="Times New Roman"/>
          <w:b/>
          <w:i/>
          <w:sz w:val="26"/>
          <w:szCs w:val="26"/>
        </w:rPr>
        <w:t>1.3</w:t>
      </w:r>
      <w:proofErr w:type="gramStart"/>
      <w:r w:rsidRPr="00195A36">
        <w:rPr>
          <w:rFonts w:ascii="Times New Roman" w:hAnsi="Times New Roman"/>
          <w:b/>
          <w:i/>
          <w:sz w:val="26"/>
          <w:szCs w:val="26"/>
        </w:rPr>
        <w:t>.Nội</w:t>
      </w:r>
      <w:proofErr w:type="gramEnd"/>
      <w:r w:rsidRPr="00195A36">
        <w:rPr>
          <w:rFonts w:ascii="Times New Roman" w:hAnsi="Times New Roman"/>
          <w:b/>
          <w:i/>
          <w:sz w:val="26"/>
          <w:szCs w:val="26"/>
        </w:rPr>
        <w:t xml:space="preserve"> dung của </w:t>
      </w:r>
      <w:r w:rsidRPr="00195A36">
        <w:rPr>
          <w:rFonts w:ascii="Times New Roman" w:hAnsi="Times New Roman"/>
          <w:b/>
          <w:bCs/>
          <w:i/>
          <w:sz w:val="26"/>
          <w:szCs w:val="26"/>
          <w:shd w:val="clear" w:color="auto" w:fill="FFFFFF"/>
        </w:rPr>
        <w:t>kế hoạch tổng thể xây dựng Cộng đồng Văn hóa-Xã hội ASEAN</w:t>
      </w:r>
    </w:p>
    <w:p w:rsidR="00EC548E" w:rsidRPr="00195A36" w:rsidRDefault="00EC548E" w:rsidP="00EC548E">
      <w:pPr>
        <w:spacing w:after="120" w:line="312" w:lineRule="auto"/>
        <w:ind w:firstLine="567"/>
        <w:jc w:val="both"/>
        <w:rPr>
          <w:rFonts w:ascii="Times New Roman" w:hAnsi="Times New Roman"/>
          <w:sz w:val="26"/>
          <w:szCs w:val="26"/>
          <w:shd w:val="clear" w:color="auto" w:fill="FFFFFF"/>
        </w:rPr>
      </w:pPr>
      <w:r w:rsidRPr="00195A36">
        <w:rPr>
          <w:rFonts w:ascii="Times New Roman" w:hAnsi="Times New Roman"/>
          <w:sz w:val="26"/>
          <w:szCs w:val="26"/>
        </w:rPr>
        <w:tab/>
      </w:r>
      <w:proofErr w:type="spellStart"/>
      <w:r w:rsidRPr="00195A36">
        <w:rPr>
          <w:rFonts w:ascii="Times New Roman" w:hAnsi="Times New Roman"/>
          <w:sz w:val="26"/>
          <w:szCs w:val="26"/>
          <w:shd w:val="clear" w:color="auto" w:fill="FFFFFF"/>
        </w:rPr>
        <w:t>Nội</w:t>
      </w:r>
      <w:proofErr w:type="spellEnd"/>
      <w:r w:rsidRPr="00195A36">
        <w:rPr>
          <w:rFonts w:ascii="Times New Roman" w:hAnsi="Times New Roman"/>
          <w:sz w:val="26"/>
          <w:szCs w:val="26"/>
          <w:shd w:val="clear" w:color="auto" w:fill="FFFFFF"/>
        </w:rPr>
        <w:t xml:space="preserve"> dung </w:t>
      </w:r>
      <w:proofErr w:type="spellStart"/>
      <w:r w:rsidRPr="00195A36">
        <w:rPr>
          <w:rFonts w:ascii="Times New Roman" w:hAnsi="Times New Roman"/>
          <w:sz w:val="26"/>
          <w:szCs w:val="26"/>
          <w:shd w:val="clear" w:color="auto" w:fill="FFFFFF"/>
        </w:rPr>
        <w:t>của</w:t>
      </w:r>
      <w:proofErr w:type="spellEnd"/>
      <w:r w:rsidRPr="00195A36">
        <w:rPr>
          <w:rFonts w:ascii="Times New Roman" w:hAnsi="Times New Roman"/>
          <w:sz w:val="26"/>
          <w:szCs w:val="26"/>
          <w:shd w:val="clear" w:color="auto" w:fill="FFFFFF"/>
        </w:rPr>
        <w:t xml:space="preserve"> Kế hoạch tổng thể Cộng đồng Văn hoá – Xã hội ASEAN 2025 cơ </w:t>
      </w:r>
      <w:proofErr w:type="spellStart"/>
      <w:r w:rsidRPr="00195A36">
        <w:rPr>
          <w:rFonts w:ascii="Times New Roman" w:hAnsi="Times New Roman"/>
          <w:sz w:val="26"/>
          <w:szCs w:val="26"/>
          <w:shd w:val="clear" w:color="auto" w:fill="FFFFFF"/>
        </w:rPr>
        <w:t>bản</w:t>
      </w:r>
      <w:proofErr w:type="spellEnd"/>
      <w:r w:rsidRPr="00195A36">
        <w:rPr>
          <w:rFonts w:ascii="Times New Roman" w:hAnsi="Times New Roman"/>
          <w:sz w:val="26"/>
          <w:szCs w:val="26"/>
          <w:shd w:val="clear" w:color="auto" w:fill="FFFFFF"/>
        </w:rPr>
        <w:t xml:space="preserve"> </w:t>
      </w:r>
      <w:proofErr w:type="spellStart"/>
      <w:r w:rsidRPr="00195A36">
        <w:rPr>
          <w:rFonts w:ascii="Times New Roman" w:hAnsi="Times New Roman"/>
          <w:sz w:val="26"/>
          <w:szCs w:val="26"/>
          <w:shd w:val="clear" w:color="auto" w:fill="FFFFFF"/>
        </w:rPr>
        <w:t>tiếp</w:t>
      </w:r>
      <w:proofErr w:type="spellEnd"/>
      <w:r w:rsidRPr="00195A36">
        <w:rPr>
          <w:rFonts w:ascii="Times New Roman" w:hAnsi="Times New Roman"/>
          <w:sz w:val="26"/>
          <w:szCs w:val="26"/>
          <w:shd w:val="clear" w:color="auto" w:fill="FFFFFF"/>
        </w:rPr>
        <w:t xml:space="preserve"> thu Kế hoạch tổng thể ASCC giai đoạn 2009-2015; dựa trên các đặc điểm, thành tố </w:t>
      </w:r>
      <w:proofErr w:type="spellStart"/>
      <w:r w:rsidRPr="00195A36">
        <w:rPr>
          <w:rFonts w:ascii="Times New Roman" w:hAnsi="Times New Roman"/>
          <w:sz w:val="26"/>
          <w:szCs w:val="26"/>
          <w:shd w:val="clear" w:color="auto" w:fill="FFFFFF"/>
        </w:rPr>
        <w:t>gắn</w:t>
      </w:r>
      <w:proofErr w:type="spellEnd"/>
      <w:r w:rsidRPr="00195A36">
        <w:rPr>
          <w:rFonts w:ascii="Times New Roman" w:hAnsi="Times New Roman"/>
          <w:sz w:val="26"/>
          <w:szCs w:val="26"/>
          <w:shd w:val="clear" w:color="auto" w:fill="FFFFFF"/>
        </w:rPr>
        <w:t xml:space="preserve"> </w:t>
      </w:r>
      <w:proofErr w:type="spellStart"/>
      <w:r w:rsidRPr="00195A36">
        <w:rPr>
          <w:rFonts w:ascii="Times New Roman" w:hAnsi="Times New Roman"/>
          <w:sz w:val="26"/>
          <w:szCs w:val="26"/>
          <w:shd w:val="clear" w:color="auto" w:fill="FFFFFF"/>
        </w:rPr>
        <w:t>kết</w:t>
      </w:r>
      <w:proofErr w:type="spellEnd"/>
      <w:r w:rsidRPr="00195A36">
        <w:rPr>
          <w:rFonts w:ascii="Times New Roman" w:hAnsi="Times New Roman"/>
          <w:sz w:val="26"/>
          <w:szCs w:val="26"/>
          <w:shd w:val="clear" w:color="auto" w:fill="FFFFFF"/>
        </w:rPr>
        <w:t xml:space="preserve"> và mang </w:t>
      </w:r>
      <w:proofErr w:type="spellStart"/>
      <w:r w:rsidRPr="00195A36">
        <w:rPr>
          <w:rFonts w:ascii="Times New Roman" w:hAnsi="Times New Roman"/>
          <w:sz w:val="26"/>
          <w:szCs w:val="26"/>
          <w:shd w:val="clear" w:color="auto" w:fill="FFFFFF"/>
        </w:rPr>
        <w:t>lại</w:t>
      </w:r>
      <w:proofErr w:type="spellEnd"/>
      <w:r w:rsidRPr="00195A36">
        <w:rPr>
          <w:rFonts w:ascii="Times New Roman" w:hAnsi="Times New Roman"/>
          <w:sz w:val="26"/>
          <w:szCs w:val="26"/>
          <w:shd w:val="clear" w:color="auto" w:fill="FFFFFF"/>
        </w:rPr>
        <w:t xml:space="preserve"> </w:t>
      </w:r>
      <w:proofErr w:type="spellStart"/>
      <w:r w:rsidRPr="00195A36">
        <w:rPr>
          <w:rFonts w:ascii="Times New Roman" w:hAnsi="Times New Roman"/>
          <w:sz w:val="26"/>
          <w:szCs w:val="26"/>
          <w:shd w:val="clear" w:color="auto" w:fill="FFFFFF"/>
        </w:rPr>
        <w:t>lợi</w:t>
      </w:r>
      <w:proofErr w:type="spellEnd"/>
      <w:r w:rsidRPr="00195A36">
        <w:rPr>
          <w:rFonts w:ascii="Times New Roman" w:hAnsi="Times New Roman"/>
          <w:sz w:val="26"/>
          <w:szCs w:val="26"/>
          <w:shd w:val="clear" w:color="auto" w:fill="FFFFFF"/>
        </w:rPr>
        <w:t xml:space="preserve"> </w:t>
      </w:r>
      <w:proofErr w:type="spellStart"/>
      <w:r w:rsidRPr="00195A36">
        <w:rPr>
          <w:rFonts w:ascii="Times New Roman" w:hAnsi="Times New Roman"/>
          <w:sz w:val="26"/>
          <w:szCs w:val="26"/>
          <w:shd w:val="clear" w:color="auto" w:fill="FFFFFF"/>
        </w:rPr>
        <w:t>ích</w:t>
      </w:r>
      <w:proofErr w:type="spellEnd"/>
      <w:r w:rsidRPr="00195A36">
        <w:rPr>
          <w:rFonts w:ascii="Times New Roman" w:hAnsi="Times New Roman"/>
          <w:sz w:val="26"/>
          <w:szCs w:val="26"/>
          <w:shd w:val="clear" w:color="auto" w:fill="FFFFFF"/>
        </w:rPr>
        <w:t xml:space="preserve"> cho </w:t>
      </w:r>
      <w:proofErr w:type="spellStart"/>
      <w:r w:rsidRPr="00195A36">
        <w:rPr>
          <w:rFonts w:ascii="Times New Roman" w:hAnsi="Times New Roman"/>
          <w:sz w:val="26"/>
          <w:szCs w:val="26"/>
          <w:shd w:val="clear" w:color="auto" w:fill="FFFFFF"/>
        </w:rPr>
        <w:t>người</w:t>
      </w:r>
      <w:proofErr w:type="spellEnd"/>
      <w:r w:rsidRPr="00195A36">
        <w:rPr>
          <w:rFonts w:ascii="Times New Roman" w:hAnsi="Times New Roman"/>
          <w:sz w:val="26"/>
          <w:szCs w:val="26"/>
          <w:shd w:val="clear" w:color="auto" w:fill="FFFFFF"/>
        </w:rPr>
        <w:t xml:space="preserve"> dân, </w:t>
      </w:r>
      <w:proofErr w:type="spellStart"/>
      <w:r w:rsidRPr="00195A36">
        <w:rPr>
          <w:rFonts w:ascii="Times New Roman" w:hAnsi="Times New Roman"/>
          <w:sz w:val="26"/>
          <w:szCs w:val="26"/>
          <w:shd w:val="clear" w:color="auto" w:fill="FFFFFF"/>
        </w:rPr>
        <w:t>hòa</w:t>
      </w:r>
      <w:proofErr w:type="spellEnd"/>
      <w:r w:rsidRPr="00195A36">
        <w:rPr>
          <w:rFonts w:ascii="Times New Roman" w:hAnsi="Times New Roman"/>
          <w:sz w:val="26"/>
          <w:szCs w:val="26"/>
          <w:shd w:val="clear" w:color="auto" w:fill="FFFFFF"/>
        </w:rPr>
        <w:t xml:space="preserve"> </w:t>
      </w:r>
      <w:proofErr w:type="spellStart"/>
      <w:r w:rsidRPr="00195A36">
        <w:rPr>
          <w:rFonts w:ascii="Times New Roman" w:hAnsi="Times New Roman"/>
          <w:sz w:val="26"/>
          <w:szCs w:val="26"/>
          <w:shd w:val="clear" w:color="auto" w:fill="FFFFFF"/>
        </w:rPr>
        <w:t>nhập</w:t>
      </w:r>
      <w:proofErr w:type="spellEnd"/>
      <w:r w:rsidRPr="00195A36">
        <w:rPr>
          <w:rFonts w:ascii="Times New Roman" w:hAnsi="Times New Roman"/>
          <w:sz w:val="26"/>
          <w:szCs w:val="26"/>
          <w:shd w:val="clear" w:color="auto" w:fill="FFFFFF"/>
        </w:rPr>
        <w:t xml:space="preserve">, </w:t>
      </w:r>
      <w:proofErr w:type="spellStart"/>
      <w:r w:rsidRPr="00195A36">
        <w:rPr>
          <w:rFonts w:ascii="Times New Roman" w:hAnsi="Times New Roman"/>
          <w:sz w:val="26"/>
          <w:szCs w:val="26"/>
          <w:shd w:val="clear" w:color="auto" w:fill="FFFFFF"/>
        </w:rPr>
        <w:t>bền</w:t>
      </w:r>
      <w:proofErr w:type="spellEnd"/>
      <w:r w:rsidRPr="00195A36">
        <w:rPr>
          <w:rFonts w:ascii="Times New Roman" w:hAnsi="Times New Roman"/>
          <w:sz w:val="26"/>
          <w:szCs w:val="26"/>
          <w:shd w:val="clear" w:color="auto" w:fill="FFFFFF"/>
        </w:rPr>
        <w:t xml:space="preserve"> </w:t>
      </w:r>
      <w:proofErr w:type="spellStart"/>
      <w:r w:rsidRPr="00195A36">
        <w:rPr>
          <w:rFonts w:ascii="Times New Roman" w:hAnsi="Times New Roman"/>
          <w:sz w:val="26"/>
          <w:szCs w:val="26"/>
          <w:shd w:val="clear" w:color="auto" w:fill="FFFFFF"/>
        </w:rPr>
        <w:t>vững</w:t>
      </w:r>
      <w:proofErr w:type="spellEnd"/>
      <w:r w:rsidRPr="00195A36">
        <w:rPr>
          <w:rFonts w:ascii="Times New Roman" w:hAnsi="Times New Roman"/>
          <w:sz w:val="26"/>
          <w:szCs w:val="26"/>
          <w:shd w:val="clear" w:color="auto" w:fill="FFFFFF"/>
        </w:rPr>
        <w:t xml:space="preserve">, tự </w:t>
      </w:r>
      <w:proofErr w:type="spellStart"/>
      <w:r w:rsidRPr="00195A36">
        <w:rPr>
          <w:rFonts w:ascii="Times New Roman" w:hAnsi="Times New Roman"/>
          <w:sz w:val="26"/>
          <w:szCs w:val="26"/>
          <w:shd w:val="clear" w:color="auto" w:fill="FFFFFF"/>
        </w:rPr>
        <w:t>cường</w:t>
      </w:r>
      <w:proofErr w:type="spellEnd"/>
      <w:r w:rsidRPr="00195A36">
        <w:rPr>
          <w:rFonts w:ascii="Times New Roman" w:hAnsi="Times New Roman"/>
          <w:sz w:val="26"/>
          <w:szCs w:val="26"/>
          <w:shd w:val="clear" w:color="auto" w:fill="FFFFFF"/>
        </w:rPr>
        <w:t xml:space="preserve"> và năng </w:t>
      </w:r>
      <w:proofErr w:type="spellStart"/>
      <w:r w:rsidRPr="00195A36">
        <w:rPr>
          <w:rFonts w:ascii="Times New Roman" w:hAnsi="Times New Roman"/>
          <w:sz w:val="26"/>
          <w:szCs w:val="26"/>
          <w:shd w:val="clear" w:color="auto" w:fill="FFFFFF"/>
        </w:rPr>
        <w:t>động</w:t>
      </w:r>
      <w:proofErr w:type="spellEnd"/>
      <w:r w:rsidRPr="00195A36">
        <w:rPr>
          <w:rFonts w:ascii="Times New Roman" w:hAnsi="Times New Roman"/>
          <w:sz w:val="26"/>
          <w:szCs w:val="26"/>
          <w:shd w:val="clear" w:color="auto" w:fill="FFFFFF"/>
        </w:rPr>
        <w:t xml:space="preserve">; </w:t>
      </w:r>
      <w:r w:rsidRPr="00195A36">
        <w:rPr>
          <w:rFonts w:ascii="Times New Roman" w:hAnsi="Times New Roman"/>
          <w:sz w:val="26"/>
          <w:szCs w:val="26"/>
          <w:shd w:val="clear" w:color="auto" w:fill="FFFFFF"/>
        </w:rPr>
        <w:lastRenderedPageBreak/>
        <w:t>đồng thời triển khai Tầm nhìn Cộng đồng ASEAN 2025 đó là hoà bình, ổn định và tự cường với năng lực được nâng cao nhằm ứng phó hiệu quả với những thách thức và nắm bắt cơ hội. Kế hoạch này tập trung vào 6 nội dung chính: (a) Phát triển con người; (b) Phúc lợi xã hội và bảo vệ; (c) Công bằng xã hội và các quyền; (d) Đảm bảo môi trường bền vững; (e) Xây dựng bản sắc ASEAN; và (f) Thu hẹp khoảng cách phát triển. Dưới mỗi nội dung này là các thành tố và hoạt động hợp tác cụ thể để triển khai, bao gồm:</w:t>
      </w:r>
    </w:p>
    <w:p w:rsidR="00EC548E" w:rsidRPr="00195A36" w:rsidRDefault="00EC548E" w:rsidP="00EC548E">
      <w:pPr>
        <w:spacing w:after="120" w:line="312" w:lineRule="auto"/>
        <w:ind w:firstLine="567"/>
        <w:jc w:val="both"/>
        <w:rPr>
          <w:rFonts w:ascii="Times New Roman" w:hAnsi="Times New Roman"/>
          <w:i/>
          <w:sz w:val="26"/>
          <w:szCs w:val="26"/>
          <w:shd w:val="clear" w:color="auto" w:fill="FFFFFF"/>
        </w:rPr>
      </w:pPr>
      <w:r w:rsidRPr="00195A36">
        <w:rPr>
          <w:rFonts w:ascii="Times New Roman" w:hAnsi="Times New Roman"/>
          <w:i/>
          <w:sz w:val="26"/>
          <w:szCs w:val="26"/>
          <w:shd w:val="clear" w:color="auto" w:fill="FFFFFF"/>
        </w:rPr>
        <w:t>a. Phát triển con người</w:t>
      </w:r>
    </w:p>
    <w:p w:rsidR="00EC548E" w:rsidRPr="00195A36" w:rsidRDefault="00EC548E" w:rsidP="00EC548E">
      <w:pPr>
        <w:spacing w:after="120" w:line="312" w:lineRule="auto"/>
        <w:ind w:firstLine="567"/>
        <w:jc w:val="both"/>
        <w:rPr>
          <w:rFonts w:ascii="Times New Roman" w:hAnsi="Times New Roman"/>
          <w:sz w:val="26"/>
          <w:szCs w:val="26"/>
        </w:rPr>
      </w:pPr>
      <w:r w:rsidRPr="00195A36">
        <w:rPr>
          <w:rFonts w:ascii="Times New Roman" w:hAnsi="Times New Roman"/>
          <w:sz w:val="26"/>
          <w:szCs w:val="26"/>
          <w:shd w:val="clear" w:color="auto" w:fill="FFFFFF"/>
        </w:rPr>
        <w:t>ASEAN sẽ nâng cao cuộc sống và đời sống của người dân ASEAN thông qua tạo cách tiếp cận đồng đều đối với các cơ hội phát triển con người, thúc đẩy và đầu tư vào giáo dục và học tập suốt đời, đào tạo nguồn nhân lực và nâng cao năng lực, khuyến khích đổi mới và tinh thần doanh nghiệp, thúc đẩy sử dụng tiếng Anh, Công nghệ Thông tin và khoa học và công nghệ ứng dụng trong các hoạt động phát triển kinh tế - xã hội. Nội dung này được chia làm 7 phần với 60 hoạt động cụ thể khác nhau.</w:t>
      </w:r>
      <w:r>
        <w:rPr>
          <w:rFonts w:ascii="Times New Roman" w:hAnsi="Times New Roman"/>
          <w:sz w:val="26"/>
          <w:szCs w:val="26"/>
          <w:shd w:val="clear" w:color="auto" w:fill="FFFFFF"/>
        </w:rPr>
        <w:t xml:space="preserve"> </w:t>
      </w:r>
      <w:r w:rsidRPr="00195A36">
        <w:rPr>
          <w:rFonts w:ascii="Times New Roman" w:hAnsi="Times New Roman"/>
          <w:sz w:val="26"/>
          <w:szCs w:val="26"/>
          <w:shd w:val="clear" w:color="auto" w:fill="FFFFFF"/>
        </w:rPr>
        <w:t>Dưới nội dung này có 7 thành tố hợp tác gồm: Thúc đẩy và ưu tiên giáo dục; Đầu tư phát triển nguồn nhân lực; Thúc đẩy việc làm bền vững; Phát triển Công nghệ thông tin và truyền thông; Hỗ trợ tiếp cận Khoa học công nghệ ứng dụng; Tăng cường các kỹ năng doanh nhân cho phụ nữ, thanh niên, người già và người khuyết tật; Xây dựng năng lực xã hội dân sự. Tổng cộng có 60 hoạt động cụ thể được xác định trong nội dung này. </w:t>
      </w:r>
    </w:p>
    <w:p w:rsidR="00EC548E" w:rsidRPr="00195A36" w:rsidRDefault="00EC548E" w:rsidP="00EC548E">
      <w:pPr>
        <w:spacing w:after="120" w:line="312" w:lineRule="auto"/>
        <w:ind w:firstLine="567"/>
        <w:jc w:val="both"/>
        <w:rPr>
          <w:rFonts w:ascii="Times New Roman" w:hAnsi="Times New Roman"/>
          <w:i/>
          <w:sz w:val="26"/>
          <w:szCs w:val="26"/>
          <w:shd w:val="clear" w:color="auto" w:fill="FFFFFF"/>
        </w:rPr>
      </w:pPr>
      <w:r w:rsidRPr="00195A36">
        <w:rPr>
          <w:rFonts w:ascii="Times New Roman" w:hAnsi="Times New Roman"/>
          <w:sz w:val="26"/>
          <w:szCs w:val="26"/>
        </w:rPr>
        <w:t xml:space="preserve">b. </w:t>
      </w:r>
      <w:r w:rsidRPr="00195A36">
        <w:rPr>
          <w:rFonts w:ascii="Times New Roman" w:hAnsi="Times New Roman"/>
          <w:i/>
          <w:sz w:val="26"/>
          <w:szCs w:val="26"/>
          <w:shd w:val="clear" w:color="auto" w:fill="FFFFFF"/>
        </w:rPr>
        <w:t>Phúc lợi xã hội và Bảo vệ</w:t>
      </w:r>
    </w:p>
    <w:p w:rsidR="00EC548E" w:rsidRPr="00195A36" w:rsidRDefault="00EC548E" w:rsidP="00EC548E">
      <w:pPr>
        <w:spacing w:after="120" w:line="312" w:lineRule="auto"/>
        <w:ind w:firstLine="567"/>
        <w:jc w:val="both"/>
        <w:rPr>
          <w:rFonts w:ascii="Times New Roman" w:hAnsi="Times New Roman"/>
          <w:sz w:val="26"/>
          <w:szCs w:val="26"/>
          <w:shd w:val="clear" w:color="auto" w:fill="FFFFFF"/>
        </w:rPr>
      </w:pPr>
      <w:r w:rsidRPr="00195A36">
        <w:rPr>
          <w:rFonts w:ascii="Times New Roman" w:hAnsi="Times New Roman"/>
          <w:sz w:val="26"/>
          <w:szCs w:val="26"/>
          <w:shd w:val="clear" w:color="auto" w:fill="FFFFFF"/>
        </w:rPr>
        <w:t xml:space="preserve"> ASEAN cam kết nâng cao mức sống và điều kiện sống của người dân ASEAN thông qua xoá giảm đói nghèo, bảo đảm phúc lợi và bảo hiểm xã hội, xây dựng một môi trường an toàn, tin cậy và không ma tuý, nâng cao khả năng bền vững trước thảm hoạ và giải quyết những mối quan tâm về y </w:t>
      </w:r>
      <w:proofErr w:type="spellStart"/>
      <w:r w:rsidRPr="00195A36">
        <w:rPr>
          <w:rFonts w:ascii="Times New Roman" w:hAnsi="Times New Roman"/>
          <w:sz w:val="26"/>
          <w:szCs w:val="26"/>
          <w:shd w:val="clear" w:color="auto" w:fill="FFFFFF"/>
        </w:rPr>
        <w:t>tế.Dưới</w:t>
      </w:r>
      <w:proofErr w:type="spellEnd"/>
      <w:r w:rsidRPr="00195A36">
        <w:rPr>
          <w:rFonts w:ascii="Times New Roman" w:hAnsi="Times New Roman"/>
          <w:sz w:val="26"/>
          <w:szCs w:val="26"/>
          <w:shd w:val="clear" w:color="auto" w:fill="FFFFFF"/>
        </w:rPr>
        <w:t xml:space="preserve"> nội dung này có 7 thành tố hợp tác gồm: Giảm nghèo; Mạng an sinh xã hội và bảo vệ khỏi các tác động tiêu cực của hội nhập và toàn cầu hóa; Tăng cường an ninh và an toàn lương thực; Tiếp cận y tế và thúc đẩy lối sống lành mạnh; Nâng cao khả năng kiểm soát các bệnh truyền nhiễm; Đảm bảo một ASEAN không có ma túy; Xây dựng các quốc gia có năng lực ứng phó thiên tai và các cộng đồng an toàn hơn. Tổng cộng có 94 hoạt động cụ thể được xác định trong nội dung này.</w:t>
      </w:r>
    </w:p>
    <w:p w:rsidR="00EC548E" w:rsidRPr="00195A36" w:rsidRDefault="00EC548E" w:rsidP="00EC548E">
      <w:pPr>
        <w:spacing w:after="120" w:line="312" w:lineRule="auto"/>
        <w:ind w:firstLine="567"/>
        <w:jc w:val="both"/>
        <w:rPr>
          <w:rFonts w:ascii="Times New Roman" w:hAnsi="Times New Roman"/>
          <w:sz w:val="26"/>
          <w:szCs w:val="26"/>
          <w:shd w:val="clear" w:color="auto" w:fill="FFFFFF"/>
        </w:rPr>
      </w:pPr>
      <w:r w:rsidRPr="00195A36">
        <w:rPr>
          <w:rFonts w:ascii="Times New Roman" w:hAnsi="Times New Roman"/>
          <w:i/>
          <w:sz w:val="26"/>
          <w:szCs w:val="26"/>
          <w:shd w:val="clear" w:color="auto" w:fill="FFFFFF"/>
        </w:rPr>
        <w:t>c. Quyền và Bình đẳng Xã hội:</w:t>
      </w:r>
    </w:p>
    <w:p w:rsidR="00EC548E" w:rsidRPr="00195A36" w:rsidRDefault="00EC548E" w:rsidP="00EC548E">
      <w:pPr>
        <w:spacing w:after="120" w:line="312" w:lineRule="auto"/>
        <w:ind w:firstLine="567"/>
        <w:jc w:val="both"/>
        <w:rPr>
          <w:rFonts w:ascii="Times New Roman" w:hAnsi="Times New Roman"/>
          <w:sz w:val="26"/>
          <w:szCs w:val="26"/>
          <w:shd w:val="clear" w:color="auto" w:fill="FFFFFF"/>
        </w:rPr>
      </w:pPr>
      <w:r w:rsidRPr="00195A36">
        <w:rPr>
          <w:rFonts w:ascii="Times New Roman" w:hAnsi="Times New Roman"/>
          <w:sz w:val="26"/>
          <w:szCs w:val="26"/>
          <w:shd w:val="clear" w:color="auto" w:fill="FFFFFF"/>
        </w:rPr>
        <w:t xml:space="preserve">ASEAN cam kết thúc đẩy bình đẳng xã hội và lồng ghép quyền của người dân vào chính sách của mình và mọi mặt của đời sống, bao gồm quyền và phúc lợi của các nhóm dễ bị tổn thương và bị gạt ra ngoài lề xã hội như phụ nữ, trẻ em, người cao tuổi, người </w:t>
      </w:r>
      <w:r w:rsidRPr="00195A36">
        <w:rPr>
          <w:rFonts w:ascii="Times New Roman" w:hAnsi="Times New Roman"/>
          <w:sz w:val="26"/>
          <w:szCs w:val="26"/>
          <w:shd w:val="clear" w:color="auto" w:fill="FFFFFF"/>
        </w:rPr>
        <w:lastRenderedPageBreak/>
        <w:t xml:space="preserve">khuyết tật và lao động nhập </w:t>
      </w:r>
      <w:proofErr w:type="spellStart"/>
      <w:r w:rsidRPr="00195A36">
        <w:rPr>
          <w:rFonts w:ascii="Times New Roman" w:hAnsi="Times New Roman"/>
          <w:sz w:val="26"/>
          <w:szCs w:val="26"/>
          <w:shd w:val="clear" w:color="auto" w:fill="FFFFFF"/>
        </w:rPr>
        <w:t>cư.Dưới</w:t>
      </w:r>
      <w:proofErr w:type="spellEnd"/>
      <w:r w:rsidRPr="00195A36">
        <w:rPr>
          <w:rFonts w:ascii="Times New Roman" w:hAnsi="Times New Roman"/>
          <w:sz w:val="26"/>
          <w:szCs w:val="26"/>
          <w:shd w:val="clear" w:color="auto" w:fill="FFFFFF"/>
        </w:rPr>
        <w:t xml:space="preserve"> nội dung này có 3 thành tố hợp tác gồm: Thúc đẩy và bảo vệ quyền và phúc lợi của phụ nữ, trẻ em, người già và người khuyết tật; Bảo vệ và thúc đẩy quyền của lao động di cư; Thúc đẩy trách nhiệm Xã hội của doanh </w:t>
      </w:r>
      <w:proofErr w:type="spellStart"/>
      <w:r w:rsidRPr="00195A36">
        <w:rPr>
          <w:rFonts w:ascii="Times New Roman" w:hAnsi="Times New Roman"/>
          <w:sz w:val="26"/>
          <w:szCs w:val="26"/>
          <w:shd w:val="clear" w:color="auto" w:fill="FFFFFF"/>
        </w:rPr>
        <w:t>nghiệp.Tổng</w:t>
      </w:r>
      <w:proofErr w:type="spellEnd"/>
      <w:r w:rsidRPr="00195A36">
        <w:rPr>
          <w:rFonts w:ascii="Times New Roman" w:hAnsi="Times New Roman"/>
          <w:sz w:val="26"/>
          <w:szCs w:val="26"/>
          <w:shd w:val="clear" w:color="auto" w:fill="FFFFFF"/>
        </w:rPr>
        <w:t xml:space="preserve"> cộng có 28 hoạt động cụ thể được xác định trong nội dung này.</w:t>
      </w:r>
    </w:p>
    <w:p w:rsidR="00EC548E" w:rsidRPr="00195A36" w:rsidRDefault="00EC548E" w:rsidP="00EC548E">
      <w:pPr>
        <w:spacing w:after="120" w:line="312" w:lineRule="auto"/>
        <w:ind w:firstLine="567"/>
        <w:jc w:val="both"/>
        <w:rPr>
          <w:rFonts w:ascii="Times New Roman" w:hAnsi="Times New Roman"/>
          <w:sz w:val="26"/>
          <w:szCs w:val="26"/>
          <w:shd w:val="clear" w:color="auto" w:fill="FFFFFF"/>
        </w:rPr>
      </w:pPr>
      <w:r w:rsidRPr="00195A36">
        <w:rPr>
          <w:rFonts w:ascii="Times New Roman" w:hAnsi="Times New Roman"/>
          <w:i/>
          <w:sz w:val="26"/>
          <w:szCs w:val="26"/>
          <w:shd w:val="clear" w:color="auto" w:fill="FFFFFF"/>
        </w:rPr>
        <w:t>d. Bảo đảm Môi trường bền vững</w:t>
      </w:r>
    </w:p>
    <w:p w:rsidR="00EC548E" w:rsidRDefault="00EC548E" w:rsidP="00EC548E">
      <w:pPr>
        <w:spacing w:after="120" w:line="312" w:lineRule="auto"/>
        <w:ind w:firstLine="567"/>
        <w:jc w:val="both"/>
        <w:rPr>
          <w:rFonts w:ascii="Times New Roman" w:hAnsi="Times New Roman"/>
          <w:sz w:val="26"/>
          <w:szCs w:val="26"/>
          <w:shd w:val="clear" w:color="auto" w:fill="FFFFFF"/>
        </w:rPr>
      </w:pPr>
      <w:r w:rsidRPr="00195A36">
        <w:rPr>
          <w:rFonts w:ascii="Times New Roman" w:hAnsi="Times New Roman"/>
          <w:sz w:val="26"/>
          <w:szCs w:val="26"/>
          <w:shd w:val="clear" w:color="auto" w:fill="FFFFFF"/>
        </w:rPr>
        <w:t>ASEAN hướng tới phát triển bền vững cũng như đảm bảo môi trường xanh và trong lành bằng cách bảo vệ nguồn tài nguyên thiên nhiên, cơ sở phát triển kinh tế, xã hội bao gồm quản lý và bảo tồn bền vững dầu mỏ, nguồn nước, khoáng sản, năng lượng, đa dạng sinh học, rừng, các tài nguyên biển và ven bờ cũng như thúc đẩy việc đảm bảo chất lượng nguồn nước và không khí cho khu vực ASEAN. ASEAN sẽ tích cực tham gia vào các nỗ lực toàn cầu nhằm giải quyết những thách thức môi trường toàn cầu trong đó có biến đổi khí hậu, bảo vệ tầng ô-</w:t>
      </w:r>
      <w:proofErr w:type="spellStart"/>
      <w:r w:rsidRPr="00195A36">
        <w:rPr>
          <w:rFonts w:ascii="Times New Roman" w:hAnsi="Times New Roman"/>
          <w:sz w:val="26"/>
          <w:szCs w:val="26"/>
          <w:shd w:val="clear" w:color="auto" w:fill="FFFFFF"/>
        </w:rPr>
        <w:t>zôn</w:t>
      </w:r>
      <w:proofErr w:type="spellEnd"/>
      <w:r w:rsidRPr="00195A36">
        <w:rPr>
          <w:rFonts w:ascii="Times New Roman" w:hAnsi="Times New Roman"/>
          <w:sz w:val="26"/>
          <w:szCs w:val="26"/>
          <w:shd w:val="clear" w:color="auto" w:fill="FFFFFF"/>
        </w:rPr>
        <w:t xml:space="preserve"> cũng như phát triển và ứng dụng công nghệ thân thiện với môi trường vì nhu cầu bảo vệ môi trường bền </w:t>
      </w:r>
      <w:proofErr w:type="spellStart"/>
      <w:r w:rsidRPr="00195A36">
        <w:rPr>
          <w:rFonts w:ascii="Times New Roman" w:hAnsi="Times New Roman"/>
          <w:sz w:val="26"/>
          <w:szCs w:val="26"/>
          <w:shd w:val="clear" w:color="auto" w:fill="FFFFFF"/>
        </w:rPr>
        <w:t>vững.Dưới</w:t>
      </w:r>
      <w:proofErr w:type="spellEnd"/>
      <w:r w:rsidRPr="00195A36">
        <w:rPr>
          <w:rFonts w:ascii="Times New Roman" w:hAnsi="Times New Roman"/>
          <w:sz w:val="26"/>
          <w:szCs w:val="26"/>
          <w:shd w:val="clear" w:color="auto" w:fill="FFFFFF"/>
        </w:rPr>
        <w:t xml:space="preserve"> nội dung này có 10 thành tố hợp tác gồm: Giải quyết các vấn đề môi trường toàn cầu; Quản lý và ngăn ngừa ô nhiễm môi trường xuyên biên giới; Thúc đẩy phát triển bền vững thông qua giáo dục môi trường và sự tham gia của công chúng; Thúc đẩy công nghệ thân thiện với môi trường; Thúc đẩy chất lượng sống ở các thành phố/đô thị ASEAN; Hài hòa các chính sách và cơ sở dữ liệu về môi trường; Thúc đẩy việc sử dụng bền vững môi trường ven biển và biển; Thúc đẩy quản lý bền vững các nguồn tài nguyên thiên nhiên và đa dạng sinh học; Thúc đẩy các nguồn nước ngọt bền vững; Ứng phó với biến đổi khí hậu và giải quyết hậu quả của nó; Thúc đẩy quản lý rừng bền </w:t>
      </w:r>
      <w:proofErr w:type="spellStart"/>
      <w:r w:rsidRPr="00195A36">
        <w:rPr>
          <w:rFonts w:ascii="Times New Roman" w:hAnsi="Times New Roman"/>
          <w:sz w:val="26"/>
          <w:szCs w:val="26"/>
          <w:shd w:val="clear" w:color="auto" w:fill="FFFFFF"/>
        </w:rPr>
        <w:t>vững.Tổng</w:t>
      </w:r>
      <w:proofErr w:type="spellEnd"/>
      <w:r w:rsidRPr="00195A36">
        <w:rPr>
          <w:rFonts w:ascii="Times New Roman" w:hAnsi="Times New Roman"/>
          <w:sz w:val="26"/>
          <w:szCs w:val="26"/>
          <w:shd w:val="clear" w:color="auto" w:fill="FFFFFF"/>
        </w:rPr>
        <w:t xml:space="preserve"> cộng có 57 hoạt động cụ thể được xác định cho nội dung này. </w:t>
      </w:r>
    </w:p>
    <w:p w:rsidR="00EC548E" w:rsidRPr="00195A36" w:rsidRDefault="00EC548E" w:rsidP="00EC548E">
      <w:pPr>
        <w:spacing w:after="120" w:line="312" w:lineRule="auto"/>
        <w:ind w:firstLine="567"/>
        <w:jc w:val="both"/>
        <w:rPr>
          <w:rFonts w:ascii="Times New Roman" w:hAnsi="Times New Roman"/>
          <w:i/>
          <w:sz w:val="26"/>
          <w:szCs w:val="26"/>
          <w:shd w:val="clear" w:color="auto" w:fill="FFFFFF"/>
        </w:rPr>
      </w:pPr>
      <w:r w:rsidRPr="00195A36">
        <w:rPr>
          <w:rFonts w:ascii="Times New Roman" w:hAnsi="Times New Roman"/>
          <w:i/>
          <w:sz w:val="26"/>
          <w:szCs w:val="26"/>
          <w:shd w:val="clear" w:color="auto" w:fill="FFFFFF"/>
        </w:rPr>
        <w:t>e. Tạo dựng Bản sắc ASEAN</w:t>
      </w:r>
    </w:p>
    <w:p w:rsidR="00EC548E" w:rsidRPr="00195A36" w:rsidRDefault="00EC548E" w:rsidP="00EC548E">
      <w:pPr>
        <w:spacing w:after="120" w:line="312" w:lineRule="auto"/>
        <w:ind w:firstLine="567"/>
        <w:jc w:val="both"/>
        <w:rPr>
          <w:rFonts w:ascii="Times New Roman" w:hAnsi="Times New Roman"/>
          <w:sz w:val="26"/>
          <w:szCs w:val="26"/>
          <w:shd w:val="clear" w:color="auto" w:fill="FFFFFF"/>
        </w:rPr>
      </w:pPr>
      <w:r w:rsidRPr="00195A36">
        <w:rPr>
          <w:rFonts w:ascii="Times New Roman" w:hAnsi="Times New Roman"/>
          <w:sz w:val="26"/>
          <w:szCs w:val="26"/>
          <w:shd w:val="clear" w:color="auto" w:fill="FFFFFF"/>
        </w:rPr>
        <w:t xml:space="preserve"> Bản sắc ASEAN là cơ sở của lợi ích khu vực Đông Nam Á. Đây là nhân cách, chuẩn mực, giá trị và tín ngưỡng </w:t>
      </w:r>
      <w:proofErr w:type="gramStart"/>
      <w:r w:rsidRPr="00195A36">
        <w:rPr>
          <w:rFonts w:ascii="Times New Roman" w:hAnsi="Times New Roman"/>
          <w:sz w:val="26"/>
          <w:szCs w:val="26"/>
          <w:shd w:val="clear" w:color="auto" w:fill="FFFFFF"/>
        </w:rPr>
        <w:t>chung</w:t>
      </w:r>
      <w:proofErr w:type="gramEnd"/>
      <w:r w:rsidRPr="00195A36">
        <w:rPr>
          <w:rFonts w:ascii="Times New Roman" w:hAnsi="Times New Roman"/>
          <w:sz w:val="26"/>
          <w:szCs w:val="26"/>
          <w:shd w:val="clear" w:color="auto" w:fill="FFFFFF"/>
        </w:rPr>
        <w:t xml:space="preserve"> của chúng ta. ASEAN sẽ lồng ghép và nâng cao hơn nữa nhận thức về ASEAN và giá trị </w:t>
      </w:r>
      <w:proofErr w:type="gramStart"/>
      <w:r w:rsidRPr="00195A36">
        <w:rPr>
          <w:rFonts w:ascii="Times New Roman" w:hAnsi="Times New Roman"/>
          <w:sz w:val="26"/>
          <w:szCs w:val="26"/>
          <w:shd w:val="clear" w:color="auto" w:fill="FFFFFF"/>
        </w:rPr>
        <w:t>chung</w:t>
      </w:r>
      <w:proofErr w:type="gramEnd"/>
      <w:r w:rsidRPr="00195A36">
        <w:rPr>
          <w:rFonts w:ascii="Times New Roman" w:hAnsi="Times New Roman"/>
          <w:sz w:val="26"/>
          <w:szCs w:val="26"/>
          <w:shd w:val="clear" w:color="auto" w:fill="FFFFFF"/>
        </w:rPr>
        <w:t xml:space="preserve"> theo tinh thần thống nhất trong đa dạng ở mọi tầng lớp xã hội.</w:t>
      </w:r>
      <w:r>
        <w:rPr>
          <w:rFonts w:ascii="Times New Roman" w:hAnsi="Times New Roman"/>
          <w:sz w:val="26"/>
          <w:szCs w:val="26"/>
          <w:shd w:val="clear" w:color="auto" w:fill="FFFFFF"/>
        </w:rPr>
        <w:t xml:space="preserve"> </w:t>
      </w:r>
      <w:r w:rsidRPr="00195A36">
        <w:rPr>
          <w:rFonts w:ascii="Times New Roman" w:hAnsi="Times New Roman"/>
          <w:sz w:val="26"/>
          <w:szCs w:val="26"/>
          <w:shd w:val="clear" w:color="auto" w:fill="FFFFFF"/>
        </w:rPr>
        <w:t>Dưới nội dung này có 4 thành tố hợp tác gồm: Thúc đẩy nhận thức ASEAN và ý thức cộng đồng; Bảo tồn và thúc đẩy di sản văn hóa ASEAN; Thúc đẩy sự sáng tạo văn hóa và công nghiệp văn hóa; Gắn kết cộng đồng. Tổng cộng có 50 hoạt động cụ thể được xác định cho nội dung này. </w:t>
      </w:r>
    </w:p>
    <w:p w:rsidR="00EC548E" w:rsidRPr="00195A36" w:rsidRDefault="00EC548E" w:rsidP="00EC548E">
      <w:pPr>
        <w:spacing w:after="120" w:line="312" w:lineRule="auto"/>
        <w:ind w:firstLine="567"/>
        <w:jc w:val="both"/>
        <w:rPr>
          <w:rFonts w:ascii="Times New Roman" w:hAnsi="Times New Roman"/>
          <w:i/>
          <w:sz w:val="26"/>
          <w:szCs w:val="26"/>
          <w:shd w:val="clear" w:color="auto" w:fill="FFFFFF"/>
        </w:rPr>
      </w:pPr>
      <w:r w:rsidRPr="00195A36">
        <w:rPr>
          <w:rFonts w:ascii="Times New Roman" w:hAnsi="Times New Roman"/>
          <w:i/>
          <w:sz w:val="26"/>
          <w:szCs w:val="26"/>
          <w:shd w:val="clear" w:color="auto" w:fill="FFFFFF"/>
        </w:rPr>
        <w:t>f. Thu hẹp khoảng cách phát triển</w:t>
      </w:r>
    </w:p>
    <w:p w:rsidR="00EC548E" w:rsidRPr="00195A36" w:rsidRDefault="00EC548E" w:rsidP="00EC548E">
      <w:pPr>
        <w:spacing w:after="120" w:line="312" w:lineRule="auto"/>
        <w:ind w:firstLine="567"/>
        <w:jc w:val="both"/>
        <w:rPr>
          <w:rFonts w:ascii="Times New Roman" w:hAnsi="Times New Roman"/>
          <w:sz w:val="26"/>
          <w:szCs w:val="26"/>
          <w:shd w:val="clear" w:color="auto" w:fill="FFFFFF"/>
        </w:rPr>
      </w:pPr>
      <w:r w:rsidRPr="00195A36">
        <w:rPr>
          <w:rFonts w:ascii="Times New Roman" w:hAnsi="Times New Roman"/>
          <w:sz w:val="26"/>
          <w:szCs w:val="26"/>
          <w:shd w:val="clear" w:color="auto" w:fill="FFFFFF"/>
        </w:rPr>
        <w:t xml:space="preserve">Thu hẹp khoảng cách phát triển đặc biệt trong khía cạnh xã hội của phát triển giữa ASEAN-6 và các nước Cam-pu-chia, Lào, Mi-an-ma và Việt Nam và trong ASEAN nơi </w:t>
      </w:r>
      <w:r w:rsidRPr="00195A36">
        <w:rPr>
          <w:rFonts w:ascii="Times New Roman" w:hAnsi="Times New Roman"/>
          <w:sz w:val="26"/>
          <w:szCs w:val="26"/>
          <w:shd w:val="clear" w:color="auto" w:fill="FFFFFF"/>
        </w:rPr>
        <w:lastRenderedPageBreak/>
        <w:t>một số nhóm biệt lập sống dưới mức phát triển vẫn còn tồn tại.</w:t>
      </w:r>
      <w:r>
        <w:rPr>
          <w:rFonts w:ascii="Times New Roman" w:hAnsi="Times New Roman"/>
          <w:sz w:val="26"/>
          <w:szCs w:val="26"/>
          <w:shd w:val="clear" w:color="auto" w:fill="FFFFFF"/>
        </w:rPr>
        <w:t xml:space="preserve"> </w:t>
      </w:r>
      <w:r w:rsidRPr="00195A36">
        <w:rPr>
          <w:rFonts w:ascii="Times New Roman" w:hAnsi="Times New Roman"/>
          <w:sz w:val="26"/>
          <w:szCs w:val="26"/>
          <w:shd w:val="clear" w:color="auto" w:fill="FFFFFF"/>
        </w:rPr>
        <w:t>Dưới nội dung này có 8 hoạt động cụ thể được xác định. </w:t>
      </w:r>
    </w:p>
    <w:p w:rsidR="00EC548E" w:rsidRPr="00195A36" w:rsidRDefault="00EC548E" w:rsidP="00EC548E">
      <w:pPr>
        <w:spacing w:after="120" w:line="312" w:lineRule="auto"/>
        <w:ind w:firstLine="567"/>
        <w:jc w:val="both"/>
        <w:rPr>
          <w:rFonts w:ascii="Times New Roman" w:hAnsi="Times New Roman"/>
          <w:sz w:val="26"/>
          <w:szCs w:val="26"/>
          <w:shd w:val="clear" w:color="auto" w:fill="FFFFFF"/>
        </w:rPr>
      </w:pPr>
      <w:r w:rsidRPr="00195A36">
        <w:rPr>
          <w:rFonts w:ascii="Times New Roman" w:hAnsi="Times New Roman"/>
          <w:sz w:val="26"/>
          <w:szCs w:val="26"/>
          <w:shd w:val="clear" w:color="auto" w:fill="FFFFFF"/>
        </w:rPr>
        <w:t xml:space="preserve">Kế hoạch tổng thể ASCC hiện đang được triển khai theo các kênh chuyên ngành của ASEAN, theo báo cáo của Ban Thư ký ASEAN, hiện chỉ còn 9 hoạt động chưa xác định được cơ quan đầu mối cụ thể để triển khai. Ban Thư ký ASEAN cùng các cơ quan chuyên ngành trong trụ cột VHXH đã xây dựng bảng chấm điểm (Scorecard) và hệ thống giám sát triển khai để tiến hành </w:t>
      </w:r>
      <w:proofErr w:type="gramStart"/>
      <w:r w:rsidRPr="00195A36">
        <w:rPr>
          <w:rFonts w:ascii="Times New Roman" w:hAnsi="Times New Roman"/>
          <w:sz w:val="26"/>
          <w:szCs w:val="26"/>
          <w:shd w:val="clear" w:color="auto" w:fill="FFFFFF"/>
        </w:rPr>
        <w:t>theo</w:t>
      </w:r>
      <w:proofErr w:type="gramEnd"/>
      <w:r w:rsidRPr="00195A36">
        <w:rPr>
          <w:rFonts w:ascii="Times New Roman" w:hAnsi="Times New Roman"/>
          <w:sz w:val="26"/>
          <w:szCs w:val="26"/>
          <w:shd w:val="clear" w:color="auto" w:fill="FFFFFF"/>
        </w:rPr>
        <w:t xml:space="preserve"> dõi, đánh giá định kỳ việc triển khai kế hoạch này.</w:t>
      </w:r>
    </w:p>
    <w:p w:rsidR="00EC548E" w:rsidRPr="00C73901" w:rsidRDefault="00EC548E" w:rsidP="00EC548E">
      <w:pPr>
        <w:pStyle w:val="ListParagraph"/>
        <w:numPr>
          <w:ilvl w:val="1"/>
          <w:numId w:val="1"/>
        </w:numPr>
        <w:spacing w:after="120" w:line="312" w:lineRule="auto"/>
        <w:ind w:left="1134" w:hanging="567"/>
        <w:jc w:val="both"/>
        <w:rPr>
          <w:b/>
          <w:sz w:val="26"/>
          <w:szCs w:val="26"/>
        </w:rPr>
      </w:pPr>
      <w:r w:rsidRPr="00C73901">
        <w:rPr>
          <w:b/>
          <w:sz w:val="26"/>
          <w:szCs w:val="26"/>
        </w:rPr>
        <w:t>Một số giải pháp về giáo dục đào tạo cho thanh niên trong việc thực hiện lộ trình xây dựng cộng đồng văn hóa - xã hội ASEAN sau 2015</w:t>
      </w:r>
    </w:p>
    <w:p w:rsidR="00EC548E" w:rsidRPr="00195A36" w:rsidRDefault="00EC548E" w:rsidP="00EC548E">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Theo Tổng thư ký ASEAN Lê Lương Minh, để thực hiện lộ trình xây dựng ASCC sau 2015 một cách có hiệu </w:t>
      </w:r>
      <w:proofErr w:type="spellStart"/>
      <w:r w:rsidRPr="00195A36">
        <w:rPr>
          <w:rFonts w:ascii="Times New Roman" w:hAnsi="Times New Roman"/>
          <w:sz w:val="26"/>
          <w:szCs w:val="26"/>
        </w:rPr>
        <w:t>quảvà</w:t>
      </w:r>
      <w:proofErr w:type="spellEnd"/>
      <w:r w:rsidRPr="00195A36">
        <w:rPr>
          <w:rFonts w:ascii="Times New Roman" w:hAnsi="Times New Roman"/>
          <w:sz w:val="26"/>
          <w:szCs w:val="26"/>
        </w:rPr>
        <w:t xml:space="preserve"> thu hẹp khoảng cách phát triển giữa các nước trong khu vực thì Việt Nam cần phải tập trung nhiều hơn </w:t>
      </w:r>
      <w:proofErr w:type="spellStart"/>
      <w:r w:rsidRPr="00195A36">
        <w:rPr>
          <w:rFonts w:ascii="Times New Roman" w:hAnsi="Times New Roman"/>
          <w:sz w:val="26"/>
          <w:szCs w:val="26"/>
        </w:rPr>
        <w:t>chogiáo</w:t>
      </w:r>
      <w:proofErr w:type="spellEnd"/>
      <w:r w:rsidRPr="00195A36">
        <w:rPr>
          <w:rFonts w:ascii="Times New Roman" w:hAnsi="Times New Roman"/>
          <w:sz w:val="26"/>
          <w:szCs w:val="26"/>
        </w:rPr>
        <w:t xml:space="preserve"> dục vì đây là </w:t>
      </w:r>
      <w:proofErr w:type="spellStart"/>
      <w:r w:rsidRPr="00195A36">
        <w:rPr>
          <w:rFonts w:ascii="Times New Roman" w:hAnsi="Times New Roman"/>
          <w:sz w:val="26"/>
          <w:szCs w:val="26"/>
        </w:rPr>
        <w:t>là</w:t>
      </w:r>
      <w:proofErr w:type="spellEnd"/>
      <w:r w:rsidRPr="00195A36">
        <w:rPr>
          <w:rFonts w:ascii="Times New Roman" w:hAnsi="Times New Roman"/>
          <w:sz w:val="26"/>
          <w:szCs w:val="26"/>
        </w:rPr>
        <w:t xml:space="preserve"> yếu tố then chốt, đóng vai trò quan trọng</w:t>
      </w:r>
      <w:r w:rsidRPr="00195A36">
        <w:rPr>
          <w:rStyle w:val="FootnoteReference"/>
          <w:rFonts w:ascii="Times New Roman" w:hAnsi="Times New Roman"/>
          <w:sz w:val="26"/>
          <w:szCs w:val="26"/>
        </w:rPr>
        <w:footnoteReference w:id="1"/>
      </w:r>
      <w:r w:rsidRPr="00195A36">
        <w:rPr>
          <w:rFonts w:ascii="Times New Roman" w:hAnsi="Times New Roman"/>
          <w:sz w:val="26"/>
          <w:szCs w:val="26"/>
        </w:rPr>
        <w:t xml:space="preserve">. Mặc dù giáo dục đào tạo, đặc biệt là giáo dục cho thanh niên Việt Nam hội nhập với ASCC nói riêng và AC nói </w:t>
      </w:r>
      <w:proofErr w:type="gramStart"/>
      <w:r w:rsidRPr="00195A36">
        <w:rPr>
          <w:rFonts w:ascii="Times New Roman" w:hAnsi="Times New Roman"/>
          <w:sz w:val="26"/>
          <w:szCs w:val="26"/>
        </w:rPr>
        <w:t>chung</w:t>
      </w:r>
      <w:proofErr w:type="gramEnd"/>
      <w:r w:rsidRPr="00195A36">
        <w:rPr>
          <w:rFonts w:ascii="Times New Roman" w:hAnsi="Times New Roman"/>
          <w:sz w:val="26"/>
          <w:szCs w:val="26"/>
        </w:rPr>
        <w:t xml:space="preserve"> đã đặt được nhiều thành tựu song những nỗ lực này chưa đáng kể, nhất là việc giáo dục giữ gìn bản sắc truyền thống, đạo đức, lối sống còn gặp nhiều khó khăn. Nguyên nhân là do những thách thức về sự phát triển không đồng đều về tri thức; tình trạng đói nghèo và bất bình đẳng trong thu nhập gia tăng; Sự khác biệt trong thực hiện cơ chế, chính sách giữa các quốc gia; Sự khác nhau về giá trị văn hóa và niềm tin tôn giáo; cùng với những hạn chế trong nhận thức, hiểu biết lẫn nhau giữa các quốc gia trong </w:t>
      </w:r>
      <w:proofErr w:type="spellStart"/>
      <w:r w:rsidRPr="00195A36">
        <w:rPr>
          <w:rFonts w:ascii="Times New Roman" w:hAnsi="Times New Roman"/>
          <w:sz w:val="26"/>
          <w:szCs w:val="26"/>
        </w:rPr>
        <w:t>ASEANđã</w:t>
      </w:r>
      <w:proofErr w:type="spellEnd"/>
      <w:r w:rsidRPr="00195A36">
        <w:rPr>
          <w:rFonts w:ascii="Times New Roman" w:hAnsi="Times New Roman"/>
          <w:sz w:val="26"/>
          <w:szCs w:val="26"/>
        </w:rPr>
        <w:t xml:space="preserve"> cản trở cho quá trình phát triển và liên kết khu vực và nâng tầm hiểu biết của thanh niên trong việc hội nhập với văn hóa-xã hội khu vực đồng thời vẫn giữ gìn bản sắc văn hóa của Việt Nam. Do đó, nước ta cần đưa ra những giải pháp phù hợp để tiếp tục thực hiện ASCC sau năm 2015. Các giải pháp có thể kể đến như sau: </w:t>
      </w:r>
    </w:p>
    <w:p w:rsidR="00EC548E" w:rsidRPr="00195A36" w:rsidRDefault="00EC548E" w:rsidP="00EC548E">
      <w:pPr>
        <w:spacing w:after="120" w:line="312" w:lineRule="auto"/>
        <w:ind w:firstLine="567"/>
        <w:jc w:val="both"/>
        <w:rPr>
          <w:rFonts w:ascii="Times New Roman" w:hAnsi="Times New Roman"/>
          <w:sz w:val="26"/>
          <w:szCs w:val="26"/>
        </w:rPr>
      </w:pPr>
      <w:r w:rsidRPr="00195A36">
        <w:rPr>
          <w:rFonts w:ascii="Times New Roman" w:hAnsi="Times New Roman"/>
          <w:sz w:val="26"/>
          <w:szCs w:val="26"/>
        </w:rPr>
        <w:tab/>
        <w:t xml:space="preserve">Trước hết, Việt Nam cần tiếp tục đẩy mạnh việc giáo dục tuyên truyền nâng cao nhận thức về ASEAN nói </w:t>
      </w:r>
      <w:proofErr w:type="gramStart"/>
      <w:r w:rsidRPr="00195A36">
        <w:rPr>
          <w:rFonts w:ascii="Times New Roman" w:hAnsi="Times New Roman"/>
          <w:sz w:val="26"/>
          <w:szCs w:val="26"/>
        </w:rPr>
        <w:t>chung</w:t>
      </w:r>
      <w:proofErr w:type="gramEnd"/>
      <w:r w:rsidRPr="00195A36">
        <w:rPr>
          <w:rFonts w:ascii="Times New Roman" w:hAnsi="Times New Roman"/>
          <w:sz w:val="26"/>
          <w:szCs w:val="26"/>
        </w:rPr>
        <w:t xml:space="preserve">, ASCC nói riêng. </w:t>
      </w:r>
      <w:proofErr w:type="gramStart"/>
      <w:r w:rsidRPr="00195A36">
        <w:rPr>
          <w:rFonts w:ascii="Times New Roman" w:hAnsi="Times New Roman"/>
          <w:sz w:val="26"/>
          <w:szCs w:val="26"/>
        </w:rPr>
        <w:t>Đây là vấn đề có ý nghĩa quan trọng, tạo cơ sở cho việc hợp tác của các nước trong khu vực trong thời gian tới.</w:t>
      </w:r>
      <w:proofErr w:type="gramEnd"/>
      <w:r w:rsidRPr="00195A36">
        <w:rPr>
          <w:rFonts w:ascii="Times New Roman" w:hAnsi="Times New Roman"/>
          <w:sz w:val="26"/>
          <w:szCs w:val="26"/>
        </w:rPr>
        <w:t xml:space="preserve"> Việc nhận thức đúng những nguyên tắc, tổ chức, hoạt động của ASEAN cũng như văn hóa, bản sắc của từng quốc gia trong ASEAN là hết sức cần thiết trong bối cảnh hội nhập hiện nay. Sự nhận thức đó không chỉ ở các cấp lãnh đạo Đảng, Nhà nước, mà phải là nhận thức </w:t>
      </w:r>
      <w:proofErr w:type="gramStart"/>
      <w:r w:rsidRPr="00195A36">
        <w:rPr>
          <w:rFonts w:ascii="Times New Roman" w:hAnsi="Times New Roman"/>
          <w:sz w:val="26"/>
          <w:szCs w:val="26"/>
        </w:rPr>
        <w:t>chung</w:t>
      </w:r>
      <w:proofErr w:type="gramEnd"/>
      <w:r w:rsidRPr="00195A36">
        <w:rPr>
          <w:rFonts w:ascii="Times New Roman" w:hAnsi="Times New Roman"/>
          <w:sz w:val="26"/>
          <w:szCs w:val="26"/>
        </w:rPr>
        <w:t xml:space="preserve"> của toàn xã hội, nhất là tầng lớp thanh niên. Phải nâng cao nhận thức cho mọi tầng lớp nhân dân hiểu đúng về ASEAN, cũng như vị trí, vai trò, trách nhiệm của </w:t>
      </w:r>
      <w:proofErr w:type="spellStart"/>
      <w:r w:rsidRPr="00195A36">
        <w:rPr>
          <w:rFonts w:ascii="Times New Roman" w:hAnsi="Times New Roman"/>
          <w:sz w:val="26"/>
          <w:szCs w:val="26"/>
        </w:rPr>
        <w:t>ViệtNam</w:t>
      </w:r>
      <w:proofErr w:type="spellEnd"/>
      <w:r w:rsidRPr="00195A36">
        <w:rPr>
          <w:rFonts w:ascii="Times New Roman" w:hAnsi="Times New Roman"/>
          <w:sz w:val="26"/>
          <w:szCs w:val="26"/>
        </w:rPr>
        <w:t xml:space="preserve"> trong </w:t>
      </w:r>
      <w:r w:rsidRPr="00195A36">
        <w:rPr>
          <w:rFonts w:ascii="Times New Roman" w:hAnsi="Times New Roman"/>
          <w:sz w:val="26"/>
          <w:szCs w:val="26"/>
        </w:rPr>
        <w:lastRenderedPageBreak/>
        <w:t>khối thì chúng ta mới có thể tham gia một cách có hiệu quả trong khuôn khổ hợp tác, liên kết ASEAN cũng như giữ gìn bản sắc văn hóa truyền thống dân tộc trong quá trình hội nhập khu vực.</w:t>
      </w:r>
    </w:p>
    <w:p w:rsidR="00EC548E" w:rsidRPr="00195A36" w:rsidRDefault="00EC548E" w:rsidP="00EC548E">
      <w:pPr>
        <w:spacing w:after="120" w:line="312" w:lineRule="auto"/>
        <w:ind w:firstLine="567"/>
        <w:jc w:val="both"/>
        <w:rPr>
          <w:rFonts w:ascii="Times New Roman" w:hAnsi="Times New Roman"/>
          <w:noProof/>
          <w:sz w:val="26"/>
          <w:szCs w:val="26"/>
        </w:rPr>
      </w:pPr>
      <w:r w:rsidRPr="00195A36">
        <w:rPr>
          <w:rFonts w:ascii="Times New Roman" w:hAnsi="Times New Roman"/>
          <w:noProof/>
          <w:sz w:val="26"/>
          <w:szCs w:val="26"/>
        </w:rPr>
        <w:t>Nước ta cũng cần tăng cường đầu tư đúng hướng vào giáo dục và học tập suốt đời để mở rộng sự liên kết và hợp tác toàn diện của ASCC sau năm 2015. Mục tiêu của giáo dục làvì sự phát triển của con người trong một thế giới toàn cầu nhưng vẫn giữ gìn bản sắc văn hóa, đạo đức của dân tộc. Học tập suốt đời có nghĩa là “học để biết, học để làm, học để cùng sống với nhau, học để sống với người khác và học để làm người”.</w:t>
      </w:r>
      <w:r w:rsidRPr="00195A36">
        <w:rPr>
          <w:rStyle w:val="FootnoteReference"/>
          <w:rFonts w:ascii="Times New Roman" w:hAnsi="Times New Roman"/>
          <w:noProof/>
          <w:sz w:val="26"/>
          <w:szCs w:val="26"/>
        </w:rPr>
        <w:footnoteReference w:id="2"/>
      </w:r>
      <w:r w:rsidRPr="00195A36">
        <w:rPr>
          <w:rFonts w:ascii="Times New Roman" w:hAnsi="Times New Roman"/>
          <w:noProof/>
          <w:sz w:val="26"/>
          <w:szCs w:val="26"/>
        </w:rPr>
        <w:t xml:space="preserve">Học ở đây không chỉ tập trung vào kiến thức sách vở mà học phải đi đôi với hành, học để hiểu biết thêm lịch sử, văn hóa, giá trị truyền thống, giá trị đạo đức của nước ta cũng như các nước trong khu vực. Từ đó có thể hoàn thiện bản thân, tăng cường hiểu biết và tin cậy lẫn nhau trong một khu vực hòa bình đoàn kết như mục tiêu của ASEAN đã đặt ra. </w:t>
      </w:r>
    </w:p>
    <w:p w:rsidR="00EC548E" w:rsidRPr="00195A36" w:rsidRDefault="00EC548E" w:rsidP="00EC548E">
      <w:pPr>
        <w:spacing w:after="120" w:line="312" w:lineRule="auto"/>
        <w:ind w:firstLine="567"/>
        <w:jc w:val="both"/>
        <w:rPr>
          <w:rFonts w:ascii="Times New Roman" w:hAnsi="Times New Roman"/>
          <w:noProof/>
          <w:sz w:val="26"/>
          <w:szCs w:val="26"/>
        </w:rPr>
      </w:pPr>
      <w:r w:rsidRPr="00195A36">
        <w:rPr>
          <w:rFonts w:ascii="Times New Roman" w:hAnsi="Times New Roman"/>
          <w:noProof/>
          <w:sz w:val="26"/>
          <w:szCs w:val="26"/>
        </w:rPr>
        <w:t xml:space="preserve">Một trong những giải pháp quan trọng góp phần hiểu biết lẫn nhau giữa các quốc gia trong cộng đồng ASEAN theo mục tiêu của ASCC đó là việc giáo dục ngôn ngữ và trong đó thanh niên đóng vai trò vô cùng quan trọng.  Bên cạnh chú trọng triển khai học tiếng Anh, thanh niên nước ta cũng nên học thêm một số tiếng của các quốc gia trong khu vực. Do ngôn ngữ phản ánh nét văn hóa của dân tộc, là phương tiện để tăng cường hiểu biết lẫn nhau  nên đây là cách tốt nhất để hội nhập trong ASEAN.  </w:t>
      </w:r>
    </w:p>
    <w:p w:rsidR="00EC548E" w:rsidRPr="00195A36" w:rsidRDefault="00EC548E" w:rsidP="00EC548E">
      <w:pPr>
        <w:spacing w:after="120" w:line="312" w:lineRule="auto"/>
        <w:ind w:firstLine="567"/>
        <w:jc w:val="both"/>
        <w:rPr>
          <w:rFonts w:ascii="Times New Roman" w:hAnsi="Times New Roman"/>
          <w:noProof/>
          <w:sz w:val="26"/>
          <w:szCs w:val="26"/>
        </w:rPr>
      </w:pPr>
      <w:r w:rsidRPr="00195A36">
        <w:rPr>
          <w:rFonts w:ascii="Times New Roman" w:hAnsi="Times New Roman"/>
          <w:noProof/>
          <w:sz w:val="26"/>
          <w:szCs w:val="26"/>
        </w:rPr>
        <w:t>Để thực hiện ASCC sau năm 2015, các quốc gia ASEAN nói chung, Việt Nam nói riêng cũng cần thúc đẩy mạnh mẽ hợp tác, đào tạo thanh niên về lĩnh vực văn hoá, nghệ thuật để bảo tồn và quảng bá hình ảnh của quốc gia cũng như nâng tầm hiểu biết chung về ASEANCụ thể, Việt Nam cũng như ASEAN cũng nên tổ chức các chương trình giao lưu văn hóa thường niên hơn với sự tham gia nhiều hơn của thanh niên trong khu vực như Tuần văn hóa ASEAN, Hội thi thể thao giữa các trường Đại học ASEAN, Chương trình trao đổi thanh niên ASEAN, Giao lưu giữa các nhà nghiên cứu trẻvề ASEAN. Đây là việc làm cần thiết nhằm bảo vệ phát huy văn hoá riêng biệt của Việt Nam nói riêng, ASEAN nói chung để góp phần tăng cường và hiểu biết hơn về các nền văn hóa  khác nhau trong các quốc gia thành viên trong khu vực. Trên cơ sở đó, các nước sẽ tạo nên những bản sắc, những cách ứng xử riêng mà không tự đánh mất mình trong quá trình hội tụ mới cao hơn của sự "thống nhất trong đa dạng" của ASEAN.</w:t>
      </w:r>
    </w:p>
    <w:p w:rsidR="00EC548E" w:rsidRPr="00195A36" w:rsidRDefault="00EC548E" w:rsidP="00EC548E">
      <w:pPr>
        <w:spacing w:after="120" w:line="312" w:lineRule="auto"/>
        <w:ind w:firstLine="567"/>
        <w:jc w:val="both"/>
        <w:rPr>
          <w:rFonts w:ascii="Times New Roman" w:hAnsi="Times New Roman"/>
          <w:sz w:val="26"/>
          <w:szCs w:val="26"/>
        </w:rPr>
      </w:pPr>
      <w:r w:rsidRPr="00195A36">
        <w:rPr>
          <w:rFonts w:ascii="Times New Roman" w:hAnsi="Times New Roman"/>
          <w:noProof/>
          <w:sz w:val="26"/>
          <w:szCs w:val="26"/>
        </w:rPr>
        <w:t xml:space="preserve">Ngoài ra, thanh niên, nhất là các nhà nghiên cứu trẻ cũng cầnnhận thức rõ lợi ích chiến lược trong việc tăng cường quan hệ với ASEAN. Hay nói cách khác, thanh niên cần </w:t>
      </w:r>
      <w:r w:rsidRPr="00195A36">
        <w:rPr>
          <w:rFonts w:ascii="Times New Roman" w:hAnsi="Times New Roman"/>
          <w:noProof/>
          <w:sz w:val="26"/>
          <w:szCs w:val="26"/>
        </w:rPr>
        <w:lastRenderedPageBreak/>
        <w:t xml:space="preserve">nhận thức được rằng gia nhập ASCC nói riêng và AC nói chung là quyết sách đúng đắn, kịp thời, có ý nghĩa lịch sử và chiến lược quan trọng trong quá trình phát triển của đất nước. Tham gia hợp tác ASEAN đã và sẽ mang lại cho Việt Nam nhiều lợi ích quan trọng và thiết thực trên nhiều lĩnh vực chính trị - an ninh, kinh tế, văn hóa - xã hội và đối ngoại. Đây cũng là cơ hội để nước ta có thể tiếp cận với nền văn minh của khu vực, xây dựng chuẩn mực đạo đức mang tầm vóc quốc tế. Đồng thời, AC cũng chính là cách để thanh niên Việt Nam có thể khẳng định vai trò của mình và giới thiệu nét văn hóa truyền thống của dân tộc đến bạn bè trong khu vực và trên thế giới. </w:t>
      </w:r>
    </w:p>
    <w:p w:rsidR="00EC548E" w:rsidRPr="00195A36" w:rsidRDefault="00EC548E" w:rsidP="00EC548E">
      <w:pPr>
        <w:spacing w:after="120" w:line="312" w:lineRule="auto"/>
        <w:ind w:firstLine="567"/>
        <w:jc w:val="both"/>
        <w:rPr>
          <w:rFonts w:ascii="Times New Roman" w:hAnsi="Times New Roman"/>
          <w:b/>
          <w:noProof/>
          <w:sz w:val="26"/>
          <w:szCs w:val="26"/>
        </w:rPr>
      </w:pPr>
      <w:r w:rsidRPr="00195A36">
        <w:rPr>
          <w:rFonts w:ascii="Times New Roman" w:hAnsi="Times New Roman"/>
          <w:b/>
          <w:noProof/>
          <w:sz w:val="26"/>
          <w:szCs w:val="26"/>
        </w:rPr>
        <w:t>Kết luận</w:t>
      </w:r>
    </w:p>
    <w:p w:rsidR="00EC548E" w:rsidRPr="00195A36" w:rsidRDefault="00EC548E" w:rsidP="00EC548E">
      <w:pPr>
        <w:spacing w:after="120" w:line="312" w:lineRule="auto"/>
        <w:ind w:firstLine="567"/>
        <w:jc w:val="both"/>
        <w:rPr>
          <w:rFonts w:ascii="Times New Roman" w:hAnsi="Times New Roman"/>
          <w:noProof/>
          <w:sz w:val="26"/>
          <w:szCs w:val="26"/>
        </w:rPr>
      </w:pPr>
      <w:r w:rsidRPr="00195A36">
        <w:rPr>
          <w:rFonts w:ascii="Times New Roman" w:hAnsi="Times New Roman"/>
          <w:noProof/>
          <w:sz w:val="26"/>
          <w:szCs w:val="26"/>
        </w:rPr>
        <w:t>Ngày nay, cùng với quá trình hội nhập, thanh niên Việt Nam có nhiều cơ hội để hiểu hơn về bản sắc văn hóa của khu vực cũng như trên thế giới, nhất là khi ASCC nói riêng và AC nói chung được thành lập. Tuy nhiên, để giúp hiện thực hóa các mục tiêu của ASCC, thanh niên Việt Nam cần phải học hỏi nhiều hơn nữa. Học hỏi ở đây không chỉ là học hỏi về văn hóa, đạo đức, lối sống của các quốc gia trong ASEAN mà quan trọng hơn là học hỏi để nâng tầm hiểu biết của mình về truyền thống, văn hóa nước nhà. Điều này sẽ giúp thanh niên Việt Nam vững vàng hơn trong quá trình hội nhập và đồng thời có thể quảng bá được nét đẹp văn hóa của nước ta trên con đường hội nhập với thế giới.</w:t>
      </w:r>
    </w:p>
    <w:p w:rsidR="00EC548E" w:rsidRDefault="00EC548E" w:rsidP="00EC548E">
      <w:pPr>
        <w:spacing w:after="120" w:line="312" w:lineRule="auto"/>
        <w:ind w:firstLine="567"/>
        <w:jc w:val="center"/>
        <w:rPr>
          <w:rFonts w:ascii="Times New Roman" w:hAnsi="Times New Roman"/>
          <w:b/>
          <w:noProof/>
          <w:sz w:val="26"/>
          <w:szCs w:val="26"/>
        </w:rPr>
      </w:pPr>
    </w:p>
    <w:p w:rsidR="00EC548E" w:rsidRPr="00C73901" w:rsidRDefault="00EC548E" w:rsidP="00EC548E">
      <w:pPr>
        <w:spacing w:after="120" w:line="312" w:lineRule="auto"/>
        <w:ind w:firstLine="567"/>
        <w:jc w:val="center"/>
        <w:rPr>
          <w:rFonts w:ascii="Times New Roman" w:hAnsi="Times New Roman"/>
          <w:b/>
          <w:caps/>
          <w:noProof/>
          <w:sz w:val="26"/>
          <w:szCs w:val="26"/>
        </w:rPr>
      </w:pPr>
      <w:r w:rsidRPr="00C73901">
        <w:rPr>
          <w:rFonts w:ascii="Times New Roman" w:hAnsi="Times New Roman"/>
          <w:b/>
          <w:caps/>
          <w:noProof/>
          <w:sz w:val="26"/>
          <w:szCs w:val="26"/>
        </w:rPr>
        <w:t>Tài liệu tham khảo</w:t>
      </w:r>
    </w:p>
    <w:p w:rsidR="00EC548E" w:rsidRPr="00C73901" w:rsidRDefault="00EC548E" w:rsidP="00EC548E">
      <w:pPr>
        <w:pStyle w:val="ListParagraph"/>
        <w:numPr>
          <w:ilvl w:val="0"/>
          <w:numId w:val="2"/>
        </w:numPr>
        <w:spacing w:line="312" w:lineRule="auto"/>
        <w:ind w:left="567" w:hanging="499"/>
        <w:jc w:val="both"/>
        <w:rPr>
          <w:noProof/>
          <w:sz w:val="26"/>
          <w:szCs w:val="26"/>
        </w:rPr>
      </w:pPr>
      <w:r w:rsidRPr="00C73901">
        <w:rPr>
          <w:noProof/>
          <w:sz w:val="26"/>
          <w:szCs w:val="26"/>
        </w:rPr>
        <w:t>ASEAN Secretariat  (2016),</w:t>
      </w:r>
      <w:r w:rsidRPr="00C73901">
        <w:rPr>
          <w:i/>
          <w:noProof/>
          <w:sz w:val="26"/>
          <w:szCs w:val="26"/>
        </w:rPr>
        <w:t>ASEAN Socio-Cultural Community Blueprint 2025</w:t>
      </w:r>
      <w:r w:rsidRPr="00C73901">
        <w:rPr>
          <w:noProof/>
          <w:sz w:val="26"/>
          <w:szCs w:val="26"/>
        </w:rPr>
        <w:t>, Jakarta.</w:t>
      </w:r>
    </w:p>
    <w:p w:rsidR="00EC548E" w:rsidRPr="00C73901" w:rsidRDefault="00EC548E" w:rsidP="00EC548E">
      <w:pPr>
        <w:pStyle w:val="ListParagraph"/>
        <w:numPr>
          <w:ilvl w:val="0"/>
          <w:numId w:val="2"/>
        </w:numPr>
        <w:spacing w:line="312" w:lineRule="auto"/>
        <w:ind w:left="567" w:hanging="499"/>
        <w:jc w:val="both"/>
        <w:rPr>
          <w:noProof/>
          <w:sz w:val="26"/>
          <w:szCs w:val="26"/>
        </w:rPr>
      </w:pPr>
      <w:r w:rsidRPr="00C73901">
        <w:rPr>
          <w:noProof/>
          <w:sz w:val="26"/>
          <w:szCs w:val="26"/>
        </w:rPr>
        <w:t>ASEAN Secretariat  (2009),</w:t>
      </w:r>
      <w:r w:rsidRPr="00C73901">
        <w:rPr>
          <w:i/>
          <w:noProof/>
          <w:sz w:val="26"/>
          <w:szCs w:val="26"/>
        </w:rPr>
        <w:t>ASEAN Socio-Cultural Community Blueprint,</w:t>
      </w:r>
      <w:r w:rsidRPr="00C73901">
        <w:rPr>
          <w:noProof/>
          <w:sz w:val="26"/>
          <w:szCs w:val="26"/>
        </w:rPr>
        <w:t xml:space="preserve"> Jakarta.</w:t>
      </w:r>
    </w:p>
    <w:p w:rsidR="00EC548E" w:rsidRPr="00C73901" w:rsidRDefault="00EC548E" w:rsidP="00EC548E">
      <w:pPr>
        <w:pStyle w:val="ListParagraph"/>
        <w:numPr>
          <w:ilvl w:val="0"/>
          <w:numId w:val="2"/>
        </w:numPr>
        <w:spacing w:line="312" w:lineRule="auto"/>
        <w:ind w:left="567" w:hanging="499"/>
        <w:jc w:val="both"/>
        <w:rPr>
          <w:noProof/>
          <w:sz w:val="26"/>
          <w:szCs w:val="26"/>
        </w:rPr>
      </w:pPr>
      <w:r w:rsidRPr="00C73901">
        <w:rPr>
          <w:noProof/>
          <w:sz w:val="26"/>
          <w:szCs w:val="26"/>
        </w:rPr>
        <w:t xml:space="preserve">ASEAN Secretariat  (2013), </w:t>
      </w:r>
      <w:r w:rsidRPr="00C73901">
        <w:rPr>
          <w:i/>
          <w:noProof/>
          <w:sz w:val="26"/>
          <w:szCs w:val="26"/>
        </w:rPr>
        <w:t>Fact sheet: ASEAN Socio-Cultural Community</w:t>
      </w:r>
      <w:r w:rsidRPr="00C73901">
        <w:rPr>
          <w:noProof/>
          <w:sz w:val="26"/>
          <w:szCs w:val="26"/>
        </w:rPr>
        <w:t>, Jakarta.</w:t>
      </w:r>
    </w:p>
    <w:p w:rsidR="00EC548E" w:rsidRPr="00C73901" w:rsidRDefault="00EC548E" w:rsidP="00EC548E">
      <w:pPr>
        <w:pStyle w:val="ListParagraph"/>
        <w:numPr>
          <w:ilvl w:val="0"/>
          <w:numId w:val="2"/>
        </w:numPr>
        <w:spacing w:line="312" w:lineRule="auto"/>
        <w:ind w:left="567" w:hanging="499"/>
        <w:jc w:val="both"/>
        <w:rPr>
          <w:noProof/>
          <w:sz w:val="26"/>
          <w:szCs w:val="26"/>
        </w:rPr>
      </w:pPr>
      <w:r w:rsidRPr="00C73901">
        <w:rPr>
          <w:noProof/>
          <w:sz w:val="26"/>
          <w:szCs w:val="26"/>
        </w:rPr>
        <w:t xml:space="preserve">Hội đồng về giáo dục thế kỷ 21 (1997), </w:t>
      </w:r>
      <w:r w:rsidRPr="00C73901">
        <w:rPr>
          <w:i/>
          <w:noProof/>
          <w:sz w:val="26"/>
          <w:szCs w:val="26"/>
        </w:rPr>
        <w:t>Báo cáo Học tập: Một kho báu tiềm ẩn,</w:t>
      </w:r>
      <w:r w:rsidRPr="00C73901">
        <w:rPr>
          <w:noProof/>
          <w:sz w:val="26"/>
          <w:szCs w:val="26"/>
        </w:rPr>
        <w:t xml:space="preserve"> NXB giáo dục  1997.</w:t>
      </w:r>
    </w:p>
    <w:p w:rsidR="0075399B" w:rsidRDefault="0075399B">
      <w:bookmarkStart w:id="0" w:name="_GoBack"/>
      <w:bookmarkEnd w:id="0"/>
    </w:p>
    <w:sectPr w:rsidR="0075399B" w:rsidSect="005072EB">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18B" w:rsidRDefault="001A418B" w:rsidP="00EC548E">
      <w:pPr>
        <w:spacing w:after="0" w:line="240" w:lineRule="auto"/>
      </w:pPr>
      <w:r>
        <w:separator/>
      </w:r>
    </w:p>
  </w:endnote>
  <w:endnote w:type="continuationSeparator" w:id="0">
    <w:p w:rsidR="001A418B" w:rsidRDefault="001A418B" w:rsidP="00EC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18B" w:rsidRDefault="001A418B" w:rsidP="00EC548E">
      <w:pPr>
        <w:spacing w:after="0" w:line="240" w:lineRule="auto"/>
      </w:pPr>
      <w:r>
        <w:separator/>
      </w:r>
    </w:p>
  </w:footnote>
  <w:footnote w:type="continuationSeparator" w:id="0">
    <w:p w:rsidR="001A418B" w:rsidRDefault="001A418B" w:rsidP="00EC548E">
      <w:pPr>
        <w:spacing w:after="0" w:line="240" w:lineRule="auto"/>
      </w:pPr>
      <w:r>
        <w:continuationSeparator/>
      </w:r>
    </w:p>
  </w:footnote>
  <w:footnote w:id="1">
    <w:p w:rsidR="00EC548E" w:rsidRDefault="00EC548E" w:rsidP="00EC548E">
      <w:pPr>
        <w:pStyle w:val="FootnoteText"/>
        <w:jc w:val="both"/>
      </w:pPr>
      <w:r>
        <w:rPr>
          <w:rStyle w:val="FootnoteReference"/>
        </w:rPr>
        <w:footnoteRef/>
      </w:r>
      <w:r>
        <w:t xml:space="preserve"> Bài phát biểu của Tổng thư ký ASEAN- Lê Lương Minh tại Hội thảo "Định hướng xây dựng cộng đồng ASEAN sau năm 2015; Quan điểm của các nước ASEAN và Việt Nam"</w:t>
      </w:r>
    </w:p>
  </w:footnote>
  <w:footnote w:id="2">
    <w:p w:rsidR="00EC548E" w:rsidRDefault="00EC548E" w:rsidP="00EC548E">
      <w:pPr>
        <w:pStyle w:val="FootnoteText"/>
      </w:pPr>
      <w:r>
        <w:rPr>
          <w:rStyle w:val="FootnoteReference"/>
        </w:rPr>
        <w:footnoteRef/>
      </w:r>
      <w:r>
        <w:t xml:space="preserve">Theo Học </w:t>
      </w:r>
      <w:proofErr w:type="spellStart"/>
      <w:r>
        <w:t>tâp</w:t>
      </w:r>
      <w:proofErr w:type="spellEnd"/>
      <w:r>
        <w:t>: Một kho báu tiềm ẩn, Báo cáo của Hội đồng về giáo dục thế kỷ 21, NXB giáo dục 1997.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77FE8"/>
    <w:multiLevelType w:val="multilevel"/>
    <w:tmpl w:val="7EECCB46"/>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b/>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64B963FC"/>
    <w:multiLevelType w:val="hybridMultilevel"/>
    <w:tmpl w:val="705E4AAE"/>
    <w:lvl w:ilvl="0" w:tplc="04090015">
      <w:start w:val="1"/>
      <w:numFmt w:val="upperLetter"/>
      <w:lvlText w:val="%1."/>
      <w:lvlJc w:val="left"/>
      <w:pPr>
        <w:ind w:left="1440" w:hanging="360"/>
      </w:pPr>
      <w:rPr>
        <w:rFonts w:hint="default"/>
      </w:rPr>
    </w:lvl>
    <w:lvl w:ilvl="1" w:tplc="656C3FA8">
      <w:start w:val="1"/>
      <w:numFmt w:val="decimal"/>
      <w:lvlText w:val="%2."/>
      <w:lvlJc w:val="left"/>
      <w:pPr>
        <w:ind w:left="216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48E"/>
    <w:rsid w:val="001A418B"/>
    <w:rsid w:val="005072EB"/>
    <w:rsid w:val="0075399B"/>
    <w:rsid w:val="00EC5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48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uiPriority w:val="99"/>
    <w:unhideWhenUsed/>
    <w:rsid w:val="00EC548E"/>
    <w:pPr>
      <w:spacing w:after="0" w:line="240" w:lineRule="auto"/>
    </w:pPr>
    <w:rPr>
      <w:rFonts w:ascii="Times New Roman" w:eastAsia="Calibri"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rsid w:val="00EC548E"/>
    <w:rPr>
      <w:rFonts w:ascii="Times New Roman" w:eastAsia="Calibri" w:hAnsi="Times New Roman" w:cs="Times New Roman"/>
      <w:sz w:val="20"/>
      <w:szCs w:val="20"/>
    </w:rPr>
  </w:style>
  <w:style w:type="paragraph" w:styleId="ListParagraph">
    <w:name w:val="List Paragraph"/>
    <w:basedOn w:val="Normal"/>
    <w:uiPriority w:val="34"/>
    <w:qFormat/>
    <w:rsid w:val="00EC548E"/>
    <w:pPr>
      <w:spacing w:after="0" w:line="240" w:lineRule="auto"/>
      <w:ind w:left="720"/>
      <w:contextualSpacing/>
    </w:pPr>
    <w:rPr>
      <w:rFonts w:ascii="Times New Roman" w:eastAsia="Calibri" w:hAnsi="Times New Roman"/>
      <w:sz w:val="24"/>
    </w:rPr>
  </w:style>
  <w:style w:type="character" w:styleId="FootnoteReference">
    <w:name w:val="footnote reference"/>
    <w:aliases w:val="Footnote,Footnote Reference 12"/>
    <w:unhideWhenUsed/>
    <w:rsid w:val="00EC548E"/>
    <w:rPr>
      <w:vertAlign w:val="superscript"/>
    </w:rPr>
  </w:style>
  <w:style w:type="character" w:customStyle="1" w:styleId="apple-converted-space">
    <w:name w:val="apple-converted-space"/>
    <w:basedOn w:val="DefaultParagraphFont"/>
    <w:rsid w:val="00EC54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48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uiPriority w:val="99"/>
    <w:unhideWhenUsed/>
    <w:rsid w:val="00EC548E"/>
    <w:pPr>
      <w:spacing w:after="0" w:line="240" w:lineRule="auto"/>
    </w:pPr>
    <w:rPr>
      <w:rFonts w:ascii="Times New Roman" w:eastAsia="Calibri"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rsid w:val="00EC548E"/>
    <w:rPr>
      <w:rFonts w:ascii="Times New Roman" w:eastAsia="Calibri" w:hAnsi="Times New Roman" w:cs="Times New Roman"/>
      <w:sz w:val="20"/>
      <w:szCs w:val="20"/>
    </w:rPr>
  </w:style>
  <w:style w:type="paragraph" w:styleId="ListParagraph">
    <w:name w:val="List Paragraph"/>
    <w:basedOn w:val="Normal"/>
    <w:uiPriority w:val="34"/>
    <w:qFormat/>
    <w:rsid w:val="00EC548E"/>
    <w:pPr>
      <w:spacing w:after="0" w:line="240" w:lineRule="auto"/>
      <w:ind w:left="720"/>
      <w:contextualSpacing/>
    </w:pPr>
    <w:rPr>
      <w:rFonts w:ascii="Times New Roman" w:eastAsia="Calibri" w:hAnsi="Times New Roman"/>
      <w:sz w:val="24"/>
    </w:rPr>
  </w:style>
  <w:style w:type="character" w:styleId="FootnoteReference">
    <w:name w:val="footnote reference"/>
    <w:aliases w:val="Footnote,Footnote Reference 12"/>
    <w:unhideWhenUsed/>
    <w:rsid w:val="00EC548E"/>
    <w:rPr>
      <w:vertAlign w:val="superscript"/>
    </w:rPr>
  </w:style>
  <w:style w:type="character" w:customStyle="1" w:styleId="apple-converted-space">
    <w:name w:val="apple-converted-space"/>
    <w:basedOn w:val="DefaultParagraphFont"/>
    <w:rsid w:val="00EC5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19498E-8F3F-4AB8-B151-590C8FF80341}"/>
</file>

<file path=customXml/itemProps2.xml><?xml version="1.0" encoding="utf-8"?>
<ds:datastoreItem xmlns:ds="http://schemas.openxmlformats.org/officeDocument/2006/customXml" ds:itemID="{23FD32F9-94B9-4270-BF93-10F75C9BE0BB}"/>
</file>

<file path=customXml/itemProps3.xml><?xml version="1.0" encoding="utf-8"?>
<ds:datastoreItem xmlns:ds="http://schemas.openxmlformats.org/officeDocument/2006/customXml" ds:itemID="{88A28209-D7A5-4CA4-8331-AD7B841DD59E}"/>
</file>

<file path=docProps/app.xml><?xml version="1.0" encoding="utf-8"?>
<Properties xmlns="http://schemas.openxmlformats.org/officeDocument/2006/extended-properties" xmlns:vt="http://schemas.openxmlformats.org/officeDocument/2006/docPropsVTypes">
  <Template>Normal.dotm</Template>
  <TotalTime>0</TotalTime>
  <Pages>8</Pages>
  <Words>2508</Words>
  <Characters>14299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HN1</dc:creator>
  <cp:lastModifiedBy>HN1</cp:lastModifiedBy>
  <cp:revision>1</cp:revision>
  <dcterms:created xsi:type="dcterms:W3CDTF">2017-12-04T21:08:00Z</dcterms:created>
  <dcterms:modified xsi:type="dcterms:W3CDTF">2017-12-04T21:08:00Z</dcterms:modified>
</cp:coreProperties>
</file>